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6630" w14:textId="77777777" w:rsidR="00B374CB" w:rsidRPr="00B374CB" w:rsidRDefault="00B374CB" w:rsidP="00B374CB">
      <w:pPr>
        <w:spacing w:after="0" w:line="360" w:lineRule="auto"/>
        <w:jc w:val="center"/>
        <w:rPr>
          <w:rFonts w:ascii="Times New Roman" w:hAnsi="Times New Roman"/>
          <w:b/>
          <w:smallCaps/>
          <w:sz w:val="24"/>
          <w:szCs w:val="24"/>
        </w:rPr>
      </w:pPr>
      <w:bookmarkStart w:id="0" w:name="_Hlk11137319"/>
      <w:r w:rsidRPr="00B374CB">
        <w:rPr>
          <w:rFonts w:ascii="Times New Roman" w:hAnsi="Times New Roman"/>
          <w:b/>
          <w:smallCaps/>
          <w:sz w:val="24"/>
          <w:szCs w:val="24"/>
        </w:rPr>
        <w:t xml:space="preserve">TRATAMENTO DE EFLUENTE DE </w:t>
      </w:r>
      <w:bookmarkEnd w:id="0"/>
      <w:r w:rsidRPr="00B374CB">
        <w:rPr>
          <w:rFonts w:ascii="Times New Roman" w:hAnsi="Times New Roman"/>
          <w:b/>
          <w:smallCaps/>
          <w:sz w:val="24"/>
          <w:szCs w:val="24"/>
        </w:rPr>
        <w:t>PR</w:t>
      </w:r>
      <w:r>
        <w:rPr>
          <w:rFonts w:ascii="Times New Roman" w:hAnsi="Times New Roman"/>
          <w:b/>
          <w:smallCaps/>
          <w:sz w:val="24"/>
          <w:szCs w:val="24"/>
        </w:rPr>
        <w:t>OCESSOS DE RADIOGRAFIA: SOLUÇÃO PARA DESCARTE DOS RESÍDUOS</w:t>
      </w:r>
    </w:p>
    <w:p w14:paraId="02862AF7" w14:textId="77777777" w:rsidR="00B374CB" w:rsidRPr="00230B71" w:rsidRDefault="00B374CB" w:rsidP="00B374CB">
      <w:pPr>
        <w:spacing w:after="0" w:line="240" w:lineRule="auto"/>
        <w:jc w:val="both"/>
        <w:rPr>
          <w:rFonts w:ascii="Times New Roman" w:hAnsi="Times New Roman"/>
          <w:i/>
          <w:smallCaps/>
          <w:sz w:val="24"/>
          <w:szCs w:val="24"/>
        </w:rPr>
      </w:pPr>
    </w:p>
    <w:p w14:paraId="702AEBF1" w14:textId="77777777" w:rsidR="00B374CB" w:rsidRDefault="00B374CB" w:rsidP="00B374CB">
      <w:pPr>
        <w:spacing w:after="0" w:line="240" w:lineRule="auto"/>
        <w:jc w:val="center"/>
        <w:rPr>
          <w:rFonts w:ascii="Times New Roman" w:hAnsi="Times New Roman"/>
          <w:i/>
          <w:smallCaps/>
          <w:sz w:val="24"/>
          <w:szCs w:val="24"/>
          <w:lang w:val="en-US"/>
        </w:rPr>
      </w:pPr>
      <w:r w:rsidRPr="00B374CB">
        <w:rPr>
          <w:rFonts w:ascii="Times New Roman" w:hAnsi="Times New Roman"/>
          <w:i/>
          <w:smallCaps/>
          <w:sz w:val="24"/>
          <w:szCs w:val="24"/>
          <w:lang w:val="en-US"/>
        </w:rPr>
        <w:t>TREATMENT OF EFFLUENT OF RADIOGRAPHY PROCESSES: WASTE DISPOSAL SOLUTION</w:t>
      </w:r>
    </w:p>
    <w:p w14:paraId="39AA6ED2" w14:textId="77777777" w:rsidR="00AB3E07" w:rsidRPr="00B374CB" w:rsidRDefault="00AB3E07" w:rsidP="00B374CB">
      <w:pPr>
        <w:spacing w:after="0" w:line="240" w:lineRule="auto"/>
        <w:jc w:val="both"/>
        <w:rPr>
          <w:rFonts w:ascii="Times New Roman" w:hAnsi="Times New Roman"/>
          <w:b/>
          <w:smallCaps/>
          <w:sz w:val="24"/>
          <w:szCs w:val="24"/>
        </w:rPr>
      </w:pPr>
      <w:r w:rsidRPr="00B374CB">
        <w:rPr>
          <w:rFonts w:ascii="Times New Roman" w:hAnsi="Times New Roman"/>
          <w:b/>
          <w:smallCaps/>
          <w:sz w:val="24"/>
          <w:szCs w:val="24"/>
        </w:rPr>
        <w:t>R</w:t>
      </w:r>
      <w:r w:rsidR="00A056EE" w:rsidRPr="00B374CB">
        <w:rPr>
          <w:rFonts w:ascii="Times New Roman" w:hAnsi="Times New Roman"/>
          <w:b/>
          <w:smallCaps/>
          <w:sz w:val="24"/>
          <w:szCs w:val="24"/>
        </w:rPr>
        <w:t>esumo</w:t>
      </w:r>
      <w:r w:rsidR="00FD7920" w:rsidRPr="00B374CB">
        <w:rPr>
          <w:rFonts w:ascii="Times New Roman" w:hAnsi="Times New Roman"/>
          <w:b/>
          <w:smallCaps/>
          <w:sz w:val="24"/>
          <w:szCs w:val="24"/>
        </w:rPr>
        <w:t xml:space="preserve"> </w:t>
      </w:r>
    </w:p>
    <w:p w14:paraId="5A6A38D7" w14:textId="77777777" w:rsidR="00DD72CD" w:rsidRPr="00DD72CD" w:rsidRDefault="00DD72CD" w:rsidP="00DD72CD">
      <w:pPr>
        <w:spacing w:after="0" w:line="240" w:lineRule="auto"/>
        <w:jc w:val="both"/>
        <w:rPr>
          <w:rFonts w:ascii="Times New Roman" w:hAnsi="Times New Roman"/>
          <w:sz w:val="24"/>
          <w:szCs w:val="24"/>
        </w:rPr>
      </w:pPr>
      <w:r w:rsidRPr="00DD72CD">
        <w:rPr>
          <w:rFonts w:ascii="Times New Roman" w:hAnsi="Times New Roman"/>
          <w:sz w:val="24"/>
          <w:szCs w:val="24"/>
        </w:rPr>
        <w:t xml:space="preserve">O processo da </w:t>
      </w:r>
      <w:r>
        <w:rPr>
          <w:rFonts w:ascii="Times New Roman" w:hAnsi="Times New Roman"/>
          <w:sz w:val="24"/>
          <w:szCs w:val="24"/>
        </w:rPr>
        <w:t>revelação</w:t>
      </w:r>
      <w:r w:rsidRPr="00DD72CD">
        <w:rPr>
          <w:rFonts w:ascii="Times New Roman" w:hAnsi="Times New Roman"/>
          <w:sz w:val="24"/>
          <w:szCs w:val="24"/>
        </w:rPr>
        <w:t xml:space="preserve"> das </w:t>
      </w:r>
      <w:r>
        <w:rPr>
          <w:rFonts w:ascii="Times New Roman" w:hAnsi="Times New Roman"/>
          <w:sz w:val="24"/>
          <w:szCs w:val="24"/>
        </w:rPr>
        <w:t xml:space="preserve">imagens de </w:t>
      </w:r>
      <w:r w:rsidRPr="00DD72CD">
        <w:rPr>
          <w:rFonts w:ascii="Times New Roman" w:hAnsi="Times New Roman"/>
          <w:sz w:val="24"/>
          <w:szCs w:val="24"/>
        </w:rPr>
        <w:t>radiografias</w:t>
      </w:r>
      <w:r>
        <w:rPr>
          <w:rFonts w:ascii="Times New Roman" w:hAnsi="Times New Roman"/>
          <w:sz w:val="24"/>
          <w:szCs w:val="24"/>
        </w:rPr>
        <w:t xml:space="preserve"> simples</w:t>
      </w:r>
      <w:r w:rsidRPr="00DD72CD">
        <w:rPr>
          <w:rFonts w:ascii="Times New Roman" w:hAnsi="Times New Roman"/>
          <w:sz w:val="24"/>
          <w:szCs w:val="24"/>
        </w:rPr>
        <w:t xml:space="preserve"> utilizadas </w:t>
      </w:r>
      <w:r>
        <w:rPr>
          <w:rFonts w:ascii="Times New Roman" w:hAnsi="Times New Roman"/>
          <w:sz w:val="24"/>
          <w:szCs w:val="24"/>
        </w:rPr>
        <w:t xml:space="preserve">como diagnóstico por imagem </w:t>
      </w:r>
      <w:r w:rsidRPr="00DD72CD">
        <w:rPr>
          <w:rFonts w:ascii="Times New Roman" w:hAnsi="Times New Roman"/>
          <w:sz w:val="24"/>
          <w:szCs w:val="24"/>
        </w:rPr>
        <w:t xml:space="preserve">na área da saúde consiste em quatro etapas:  revelação, fixação, enxágue e secagem. Esses processos geram resíduos que quando descartados de forma inadequada, poluem o meio ambiente, devido a altas concentrações de elementos compostos por sulfetos e derivados da prata. De acordo com a Resolução nº 358/05 do Conselho Nacional do Meio Ambiente (CONAMA), os efluentes gerados pelo processamento das radiografias se encaixam no grupo B (resíduos químicos), pois contém substâncias tóxicas que causam risco ao meio ambiente e para a saúde da população. Um dos possíveis métodos para o tratamento desse efluente é a eletrocoagulação. É um método relativamente barato, onde a partir de uma eletrólise, pode-se ocorrer a desestabilização e agregação de partículas, onde há a formação de precipitado. A metodologia consiste em tratar o </w:t>
      </w:r>
      <w:r>
        <w:rPr>
          <w:rFonts w:ascii="Times New Roman" w:hAnsi="Times New Roman"/>
          <w:sz w:val="24"/>
          <w:szCs w:val="24"/>
        </w:rPr>
        <w:t xml:space="preserve">efluente gerado no processo de diagnóstico por radiografia simples </w:t>
      </w:r>
      <w:r w:rsidRPr="00DD72CD">
        <w:rPr>
          <w:rFonts w:ascii="Times New Roman" w:hAnsi="Times New Roman"/>
          <w:sz w:val="24"/>
          <w:szCs w:val="24"/>
        </w:rPr>
        <w:t>pelo método da eletrocoagulação, e assim poder comparar os resultados de turbidez, dureza do líquido</w:t>
      </w:r>
      <w:r>
        <w:rPr>
          <w:rFonts w:ascii="Times New Roman" w:hAnsi="Times New Roman"/>
          <w:sz w:val="24"/>
          <w:szCs w:val="24"/>
        </w:rPr>
        <w:t>,</w:t>
      </w:r>
      <w:r w:rsidRPr="00DD72CD">
        <w:rPr>
          <w:rFonts w:ascii="Times New Roman" w:hAnsi="Times New Roman"/>
          <w:sz w:val="24"/>
          <w:szCs w:val="24"/>
        </w:rPr>
        <w:t xml:space="preserve"> anali</w:t>
      </w:r>
      <w:r>
        <w:rPr>
          <w:rFonts w:ascii="Times New Roman" w:hAnsi="Times New Roman"/>
          <w:sz w:val="24"/>
          <w:szCs w:val="24"/>
        </w:rPr>
        <w:t>se</w:t>
      </w:r>
      <w:r w:rsidRPr="00DD72CD">
        <w:rPr>
          <w:rFonts w:ascii="Times New Roman" w:hAnsi="Times New Roman"/>
          <w:sz w:val="24"/>
          <w:szCs w:val="24"/>
        </w:rPr>
        <w:t xml:space="preserve"> </w:t>
      </w:r>
      <w:r>
        <w:rPr>
          <w:rFonts w:ascii="Times New Roman" w:hAnsi="Times New Roman"/>
          <w:sz w:val="24"/>
          <w:szCs w:val="24"/>
        </w:rPr>
        <w:t>d</w:t>
      </w:r>
      <w:r w:rsidRPr="00DD72CD">
        <w:rPr>
          <w:rFonts w:ascii="Times New Roman" w:hAnsi="Times New Roman"/>
          <w:sz w:val="24"/>
          <w:szCs w:val="24"/>
        </w:rPr>
        <w:t>a demanda química de oxigênio (DQO) das amostras tratadas e assim, atender todas as legislações ambientais de descarte. Os resultados consistem na queda de turbidez, queda de dureza, diminuição da taxa de DQO e nos sólidos totais, comprovando a eficiência do método de eletrocoagulação.</w:t>
      </w:r>
    </w:p>
    <w:p w14:paraId="3813860B" w14:textId="77777777" w:rsidR="00DD72CD" w:rsidRPr="00DD72CD" w:rsidRDefault="00DD72CD" w:rsidP="00DD72CD">
      <w:pPr>
        <w:spacing w:after="0" w:line="240" w:lineRule="auto"/>
        <w:jc w:val="both"/>
        <w:rPr>
          <w:rFonts w:ascii="Times New Roman" w:hAnsi="Times New Roman"/>
          <w:sz w:val="24"/>
          <w:szCs w:val="24"/>
        </w:rPr>
      </w:pPr>
    </w:p>
    <w:p w14:paraId="600A2A16" w14:textId="77777777" w:rsidR="005E29E6" w:rsidRPr="00021B40" w:rsidRDefault="00DD72CD" w:rsidP="00DD72CD">
      <w:pPr>
        <w:spacing w:after="0" w:line="240" w:lineRule="auto"/>
        <w:jc w:val="both"/>
        <w:rPr>
          <w:rFonts w:ascii="Times New Roman" w:hAnsi="Times New Roman"/>
          <w:sz w:val="24"/>
          <w:szCs w:val="24"/>
        </w:rPr>
      </w:pPr>
      <w:r w:rsidRPr="00DD72CD">
        <w:rPr>
          <w:rFonts w:ascii="Times New Roman" w:hAnsi="Times New Roman"/>
          <w:sz w:val="24"/>
          <w:szCs w:val="24"/>
        </w:rPr>
        <w:t>Palavras-chave: DQO, efluente, prata, redução, tratamento.</w:t>
      </w:r>
    </w:p>
    <w:p w14:paraId="00FD82E2" w14:textId="77777777" w:rsidR="00FD7920" w:rsidRPr="00B374CB" w:rsidRDefault="00FD7920" w:rsidP="00A056EE">
      <w:pPr>
        <w:spacing w:after="0" w:line="240" w:lineRule="auto"/>
        <w:jc w:val="both"/>
        <w:rPr>
          <w:rFonts w:ascii="Times New Roman" w:hAnsi="Times New Roman"/>
          <w:b/>
          <w:sz w:val="20"/>
          <w:szCs w:val="20"/>
        </w:rPr>
      </w:pPr>
    </w:p>
    <w:p w14:paraId="1892D95E" w14:textId="77777777" w:rsidR="00A056EE" w:rsidRPr="00021B40" w:rsidRDefault="00AB3E07" w:rsidP="00A056EE">
      <w:pPr>
        <w:spacing w:after="0" w:line="240" w:lineRule="auto"/>
        <w:jc w:val="both"/>
        <w:rPr>
          <w:rFonts w:ascii="Times New Roman" w:hAnsi="Times New Roman"/>
          <w:b/>
          <w:smallCaps/>
          <w:sz w:val="24"/>
          <w:szCs w:val="24"/>
          <w:lang w:val="en-GB"/>
        </w:rPr>
      </w:pPr>
      <w:r w:rsidRPr="00021B40">
        <w:rPr>
          <w:rFonts w:ascii="Times New Roman" w:hAnsi="Times New Roman"/>
          <w:b/>
          <w:smallCaps/>
          <w:sz w:val="24"/>
          <w:szCs w:val="24"/>
          <w:lang w:val="en-GB"/>
        </w:rPr>
        <w:t>A</w:t>
      </w:r>
      <w:r w:rsidR="00A056EE" w:rsidRPr="00021B40">
        <w:rPr>
          <w:rFonts w:ascii="Times New Roman" w:hAnsi="Times New Roman"/>
          <w:b/>
          <w:smallCaps/>
          <w:sz w:val="24"/>
          <w:szCs w:val="24"/>
          <w:lang w:val="en-GB"/>
        </w:rPr>
        <w:t>bstract</w:t>
      </w:r>
    </w:p>
    <w:p w14:paraId="54A9A6A4" w14:textId="77777777" w:rsidR="00B13B16" w:rsidRPr="00B13B16" w:rsidRDefault="00B13B16" w:rsidP="00B13B16">
      <w:pPr>
        <w:spacing w:after="0" w:line="240" w:lineRule="auto"/>
        <w:jc w:val="both"/>
        <w:rPr>
          <w:rFonts w:ascii="Times New Roman" w:hAnsi="Times New Roman"/>
          <w:sz w:val="24"/>
          <w:szCs w:val="24"/>
          <w:lang w:val="en-GB"/>
        </w:rPr>
      </w:pPr>
    </w:p>
    <w:p w14:paraId="0B6ACF77" w14:textId="77777777" w:rsidR="00DD72CD" w:rsidRPr="00DD72CD" w:rsidRDefault="00DD72CD" w:rsidP="00DD72CD">
      <w:pPr>
        <w:spacing w:after="0" w:line="240" w:lineRule="auto"/>
        <w:jc w:val="both"/>
        <w:rPr>
          <w:rFonts w:ascii="Times New Roman" w:hAnsi="Times New Roman"/>
          <w:sz w:val="24"/>
          <w:szCs w:val="24"/>
          <w:lang w:val="en-GB"/>
        </w:rPr>
      </w:pPr>
      <w:r w:rsidRPr="00DD72CD">
        <w:rPr>
          <w:rFonts w:ascii="Times New Roman" w:hAnsi="Times New Roman"/>
          <w:sz w:val="24"/>
          <w:szCs w:val="24"/>
          <w:lang w:val="en-GB"/>
        </w:rPr>
        <w:t>The process of revealing simple X-ray images used as diagnostic imaging in the health area consists of four stages: development, fixation, rinsing and drying. These processes generate waste that, when discarded improperly, pollute the environment due to high concentrations of elements composed of sulphides and silver derivatives. According to Resolution No. 358/05 of the National Environmental Council (CONAMA), the effluents generated by the processing of radiographs fall into group B (chemical residues) because it contains toxic substances that cause a risk to the environment and to health of the population. One of the possible methods for treating this effluent is electrocoagulation. It is a relatively inexpensive method where, from an electrolysis, destabilization and aggregation of particles can occur, where there is precipitate formation. The methodology is to treat the effluent generated in the diagnostic process by simple radiography by the electrocoagulation method, and thus to compare the results of turbidity, liquid hardness, chemical oxygen demand (COD) analysis of the treated samples and thus, disposal legislation. The results consist of turbidity drop, hardness drop, COD reduction and total solids, proving the efficiency of the electrocoagulation method.</w:t>
      </w:r>
    </w:p>
    <w:p w14:paraId="1BA5B6FD" w14:textId="77777777" w:rsidR="00DD72CD" w:rsidRPr="00DD72CD" w:rsidRDefault="00DD72CD" w:rsidP="00DD72CD">
      <w:pPr>
        <w:spacing w:after="0" w:line="240" w:lineRule="auto"/>
        <w:jc w:val="both"/>
        <w:rPr>
          <w:rFonts w:ascii="Times New Roman" w:hAnsi="Times New Roman"/>
          <w:sz w:val="24"/>
          <w:szCs w:val="24"/>
          <w:lang w:val="en-GB"/>
        </w:rPr>
      </w:pPr>
    </w:p>
    <w:p w14:paraId="3F69C893" w14:textId="77777777" w:rsidR="005440CE" w:rsidRDefault="00DD72CD" w:rsidP="00DD72CD">
      <w:pPr>
        <w:spacing w:after="0" w:line="240" w:lineRule="auto"/>
        <w:jc w:val="both"/>
        <w:rPr>
          <w:rFonts w:ascii="Times New Roman" w:hAnsi="Times New Roman"/>
          <w:sz w:val="24"/>
          <w:szCs w:val="24"/>
          <w:lang w:val="en-GB"/>
        </w:rPr>
      </w:pPr>
      <w:r w:rsidRPr="00DD72CD">
        <w:rPr>
          <w:rFonts w:ascii="Times New Roman" w:hAnsi="Times New Roman"/>
          <w:sz w:val="24"/>
          <w:szCs w:val="24"/>
          <w:lang w:val="en-GB"/>
        </w:rPr>
        <w:t>Key words: COD, effluent, silver, reduction, treatment.</w:t>
      </w:r>
    </w:p>
    <w:p w14:paraId="58407FE0" w14:textId="77777777" w:rsidR="00DD72CD" w:rsidRPr="00DD72CD" w:rsidRDefault="00DD72CD" w:rsidP="00DD72CD">
      <w:pPr>
        <w:spacing w:after="0" w:line="240" w:lineRule="auto"/>
        <w:jc w:val="both"/>
        <w:rPr>
          <w:rFonts w:ascii="Times New Roman" w:hAnsi="Times New Roman"/>
          <w:sz w:val="24"/>
          <w:szCs w:val="24"/>
          <w:lang w:val="en-GB"/>
        </w:rPr>
      </w:pPr>
    </w:p>
    <w:p w14:paraId="3D76915D" w14:textId="77777777" w:rsidR="00AB3E07" w:rsidRPr="00B11C86" w:rsidRDefault="00B11C86" w:rsidP="005440CE">
      <w:pPr>
        <w:pStyle w:val="PargrafodaLista"/>
        <w:numPr>
          <w:ilvl w:val="0"/>
          <w:numId w:val="2"/>
        </w:numPr>
        <w:spacing w:after="0" w:line="360" w:lineRule="auto"/>
        <w:jc w:val="both"/>
        <w:rPr>
          <w:rFonts w:ascii="Times New Roman" w:hAnsi="Times New Roman"/>
          <w:b/>
          <w:smallCaps/>
          <w:sz w:val="24"/>
          <w:szCs w:val="24"/>
        </w:rPr>
      </w:pPr>
      <w:r w:rsidRPr="00B11C86">
        <w:rPr>
          <w:rFonts w:ascii="Times New Roman" w:hAnsi="Times New Roman"/>
          <w:b/>
          <w:smallCaps/>
          <w:sz w:val="24"/>
          <w:szCs w:val="24"/>
        </w:rPr>
        <w:t>Introdução</w:t>
      </w:r>
    </w:p>
    <w:p w14:paraId="08B36039" w14:textId="77777777" w:rsidR="0059562A" w:rsidRPr="00FA310C" w:rsidRDefault="000B6448" w:rsidP="00B374CB">
      <w:pPr>
        <w:spacing w:after="0" w:line="360" w:lineRule="auto"/>
        <w:ind w:firstLine="708"/>
        <w:jc w:val="both"/>
        <w:rPr>
          <w:rFonts w:ascii="Times New Roman" w:hAnsi="Times New Roman"/>
          <w:color w:val="FF0000"/>
          <w:sz w:val="24"/>
          <w:szCs w:val="24"/>
        </w:rPr>
      </w:pPr>
      <w:bookmarkStart w:id="1" w:name="_Hlk11145083"/>
      <w:r w:rsidRPr="00E61B3D">
        <w:rPr>
          <w:rFonts w:ascii="Times New Roman" w:hAnsi="Times New Roman"/>
          <w:sz w:val="24"/>
          <w:szCs w:val="24"/>
        </w:rPr>
        <w:t xml:space="preserve">Desde o início do século XX </w:t>
      </w:r>
      <w:r w:rsidR="00230B71" w:rsidRPr="00E61B3D">
        <w:rPr>
          <w:rFonts w:ascii="Times New Roman" w:hAnsi="Times New Roman"/>
          <w:sz w:val="24"/>
          <w:szCs w:val="24"/>
        </w:rPr>
        <w:t>os diagnósticos por imagem se tornaram uma importante</w:t>
      </w:r>
      <w:r w:rsidRPr="00E61B3D">
        <w:rPr>
          <w:rFonts w:ascii="Times New Roman" w:hAnsi="Times New Roman"/>
          <w:sz w:val="24"/>
          <w:szCs w:val="24"/>
        </w:rPr>
        <w:t xml:space="preserve"> ferramenta para a área da saúde.</w:t>
      </w:r>
      <w:r w:rsidR="00230B71" w:rsidRPr="00E61B3D">
        <w:rPr>
          <w:rFonts w:ascii="Times New Roman" w:hAnsi="Times New Roman"/>
          <w:sz w:val="24"/>
          <w:szCs w:val="24"/>
        </w:rPr>
        <w:t xml:space="preserve"> O uso de radiografias simples possibilita a análise de</w:t>
      </w:r>
      <w:r w:rsidRPr="00E61B3D">
        <w:rPr>
          <w:rFonts w:ascii="Times New Roman" w:hAnsi="Times New Roman"/>
          <w:sz w:val="24"/>
          <w:szCs w:val="24"/>
        </w:rPr>
        <w:t xml:space="preserve"> tecidos ósseos sem a necessidade de incisões. Porém</w:t>
      </w:r>
      <w:r w:rsidR="00230B71" w:rsidRPr="00E61B3D">
        <w:rPr>
          <w:rFonts w:ascii="Times New Roman" w:hAnsi="Times New Roman"/>
          <w:sz w:val="24"/>
          <w:szCs w:val="24"/>
        </w:rPr>
        <w:t>,</w:t>
      </w:r>
      <w:r w:rsidRPr="00E61B3D">
        <w:rPr>
          <w:rFonts w:ascii="Times New Roman" w:hAnsi="Times New Roman"/>
          <w:sz w:val="24"/>
          <w:szCs w:val="24"/>
        </w:rPr>
        <w:t xml:space="preserve"> a utilização desta t</w:t>
      </w:r>
      <w:r w:rsidR="00230B71" w:rsidRPr="00E61B3D">
        <w:rPr>
          <w:rFonts w:ascii="Times New Roman" w:hAnsi="Times New Roman"/>
          <w:sz w:val="24"/>
          <w:szCs w:val="24"/>
        </w:rPr>
        <w:t>ecnologia</w:t>
      </w:r>
      <w:r w:rsidRPr="00E61B3D">
        <w:rPr>
          <w:rFonts w:ascii="Times New Roman" w:hAnsi="Times New Roman"/>
          <w:sz w:val="24"/>
          <w:szCs w:val="24"/>
        </w:rPr>
        <w:t xml:space="preserve"> gera resíduos </w:t>
      </w:r>
      <w:r w:rsidRPr="00E61B3D">
        <w:rPr>
          <w:rFonts w:ascii="Times New Roman" w:hAnsi="Times New Roman"/>
          <w:sz w:val="24"/>
          <w:szCs w:val="24"/>
        </w:rPr>
        <w:lastRenderedPageBreak/>
        <w:t xml:space="preserve">contaminantes </w:t>
      </w:r>
      <w:r w:rsidR="00230B71" w:rsidRPr="00E61B3D">
        <w:rPr>
          <w:rFonts w:ascii="Times New Roman" w:hAnsi="Times New Roman"/>
          <w:sz w:val="24"/>
          <w:szCs w:val="24"/>
        </w:rPr>
        <w:t>provenientes d</w:t>
      </w:r>
      <w:r w:rsidRPr="00E61B3D">
        <w:rPr>
          <w:rFonts w:ascii="Times New Roman" w:hAnsi="Times New Roman"/>
          <w:sz w:val="24"/>
          <w:szCs w:val="24"/>
        </w:rPr>
        <w:t>o processamento radiográfico</w:t>
      </w:r>
      <w:r w:rsidR="00C14CBD" w:rsidRPr="00E61B3D">
        <w:rPr>
          <w:rFonts w:ascii="Times New Roman" w:hAnsi="Times New Roman"/>
          <w:sz w:val="24"/>
          <w:szCs w:val="24"/>
        </w:rPr>
        <w:t xml:space="preserve"> (revelação e fixação da imagem)</w:t>
      </w:r>
      <w:r w:rsidR="00230B71" w:rsidRPr="00E61B3D">
        <w:rPr>
          <w:rFonts w:ascii="Times New Roman" w:hAnsi="Times New Roman"/>
          <w:sz w:val="24"/>
          <w:szCs w:val="24"/>
        </w:rPr>
        <w:t xml:space="preserve"> associados à</w:t>
      </w:r>
      <w:r w:rsidR="00FA310C" w:rsidRPr="00E61B3D">
        <w:rPr>
          <w:rFonts w:ascii="Times New Roman" w:hAnsi="Times New Roman"/>
          <w:sz w:val="24"/>
          <w:szCs w:val="24"/>
        </w:rPr>
        <w:t xml:space="preserve"> revelação e fixação da imagem. A</w:t>
      </w:r>
      <w:r w:rsidR="00230B71" w:rsidRPr="00E61B3D">
        <w:rPr>
          <w:rFonts w:ascii="Times New Roman" w:hAnsi="Times New Roman"/>
          <w:sz w:val="24"/>
          <w:szCs w:val="24"/>
        </w:rPr>
        <w:t>lém disso,</w:t>
      </w:r>
      <w:r w:rsidR="00FA310C" w:rsidRPr="00E61B3D">
        <w:rPr>
          <w:rFonts w:ascii="Times New Roman" w:hAnsi="Times New Roman"/>
          <w:sz w:val="24"/>
          <w:szCs w:val="24"/>
        </w:rPr>
        <w:t xml:space="preserve"> água </w:t>
      </w:r>
      <w:r w:rsidR="00230B71" w:rsidRPr="00E61B3D">
        <w:rPr>
          <w:rFonts w:ascii="Times New Roman" w:hAnsi="Times New Roman"/>
          <w:sz w:val="24"/>
          <w:szCs w:val="24"/>
        </w:rPr>
        <w:t>utilizada na lavagem dos filmes radiográficos</w:t>
      </w:r>
      <w:r w:rsidR="00FA310C" w:rsidRPr="00E61B3D">
        <w:rPr>
          <w:rFonts w:ascii="Times New Roman" w:hAnsi="Times New Roman"/>
          <w:sz w:val="24"/>
          <w:szCs w:val="24"/>
        </w:rPr>
        <w:t xml:space="preserve"> é contaminada durante o processo com compostos orgânicos e inorgânicos</w:t>
      </w:r>
      <w:r w:rsidR="00230B71" w:rsidRPr="00E61B3D">
        <w:rPr>
          <w:rFonts w:ascii="Times New Roman" w:hAnsi="Times New Roman"/>
          <w:sz w:val="24"/>
          <w:szCs w:val="24"/>
        </w:rPr>
        <w:t>, os quais apresentam</w:t>
      </w:r>
      <w:r w:rsidR="00FA310C" w:rsidRPr="00E61B3D">
        <w:rPr>
          <w:rFonts w:ascii="Times New Roman" w:hAnsi="Times New Roman"/>
          <w:sz w:val="24"/>
          <w:szCs w:val="24"/>
        </w:rPr>
        <w:t xml:space="preserve"> elevada toxicidade ao meio ambiente</w:t>
      </w:r>
      <w:r w:rsidR="004D54FA">
        <w:rPr>
          <w:rFonts w:ascii="Times New Roman" w:hAnsi="Times New Roman"/>
          <w:sz w:val="24"/>
          <w:szCs w:val="24"/>
        </w:rPr>
        <w:t xml:space="preserve"> (GRIGOLETO et al, 2011). </w:t>
      </w:r>
    </w:p>
    <w:p w14:paraId="647F3077" w14:textId="77777777" w:rsidR="00FA310C" w:rsidRPr="00FA310C" w:rsidRDefault="00FA310C" w:rsidP="00B374CB">
      <w:pPr>
        <w:spacing w:after="0" w:line="360" w:lineRule="auto"/>
        <w:ind w:firstLine="708"/>
        <w:jc w:val="both"/>
        <w:rPr>
          <w:rFonts w:ascii="Times New Roman" w:hAnsi="Times New Roman"/>
          <w:color w:val="FF0000"/>
          <w:sz w:val="24"/>
          <w:szCs w:val="24"/>
        </w:rPr>
      </w:pPr>
      <w:r>
        <w:rPr>
          <w:rFonts w:ascii="Times New Roman" w:hAnsi="Times New Roman"/>
          <w:sz w:val="24"/>
          <w:szCs w:val="24"/>
        </w:rPr>
        <w:t>Os compostos utilizados para a revelação e fixação da imagem têm elevada concentração de íons de prata, ferro, hidroquinona, quinona, tiossulfato de sódio, sulfito de sódio e ácido bórico, além de cloretos, fosfatos e nitretos</w:t>
      </w:r>
      <w:r w:rsidR="00737872">
        <w:rPr>
          <w:rFonts w:ascii="Times New Roman" w:hAnsi="Times New Roman"/>
          <w:sz w:val="24"/>
          <w:szCs w:val="24"/>
        </w:rPr>
        <w:t xml:space="preserve"> (RAMOS, et al, 2018)</w:t>
      </w:r>
      <w:r>
        <w:rPr>
          <w:rFonts w:ascii="Times New Roman" w:hAnsi="Times New Roman"/>
          <w:sz w:val="24"/>
          <w:szCs w:val="24"/>
        </w:rPr>
        <w:t>.</w:t>
      </w:r>
    </w:p>
    <w:p w14:paraId="7E732330" w14:textId="77777777" w:rsidR="00FA310C" w:rsidRDefault="00FA310C" w:rsidP="00B374CB">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De acordo com a RCD n° 306/04 da ANVISA, as soluções fixadoras utilizadas em </w:t>
      </w:r>
      <w:r w:rsidR="00385E7D">
        <w:rPr>
          <w:rFonts w:ascii="Times New Roman" w:hAnsi="Times New Roman"/>
          <w:sz w:val="24"/>
          <w:szCs w:val="24"/>
        </w:rPr>
        <w:t xml:space="preserve">processos de radiologia, </w:t>
      </w:r>
      <w:r>
        <w:rPr>
          <w:rFonts w:ascii="Times New Roman" w:hAnsi="Times New Roman"/>
          <w:sz w:val="24"/>
          <w:szCs w:val="24"/>
        </w:rPr>
        <w:t>devem</w:t>
      </w:r>
      <w:r w:rsidR="00385E7D">
        <w:rPr>
          <w:rFonts w:ascii="Times New Roman" w:hAnsi="Times New Roman"/>
          <w:sz w:val="24"/>
          <w:szCs w:val="24"/>
        </w:rPr>
        <w:t xml:space="preserve"> ser submetidas a processos de recuperação da prata ou então, embaladas e identificadas em frascos de até dois litros, resistentes, rígidos e estanques, com tampa rosqueada e vedante.</w:t>
      </w:r>
      <w:r>
        <w:rPr>
          <w:rFonts w:ascii="Times New Roman" w:hAnsi="Times New Roman"/>
          <w:sz w:val="24"/>
          <w:szCs w:val="24"/>
        </w:rPr>
        <w:t xml:space="preserve"> </w:t>
      </w:r>
      <w:r w:rsidR="00385E7D">
        <w:rPr>
          <w:rFonts w:ascii="Times New Roman" w:hAnsi="Times New Roman"/>
          <w:sz w:val="24"/>
          <w:szCs w:val="24"/>
        </w:rPr>
        <w:t>Os frascos devem ser identificados conforme a NBR 7500 e encaminhados à aterros sanitários industriais</w:t>
      </w:r>
      <w:r w:rsidR="00DC349D">
        <w:rPr>
          <w:rFonts w:ascii="Times New Roman" w:hAnsi="Times New Roman"/>
          <w:sz w:val="24"/>
          <w:szCs w:val="24"/>
        </w:rPr>
        <w:t xml:space="preserve"> (ANVISA, 2004; CONAMA, 2005)</w:t>
      </w:r>
      <w:r w:rsidR="00385E7D">
        <w:rPr>
          <w:rFonts w:ascii="Times New Roman" w:hAnsi="Times New Roman"/>
          <w:sz w:val="24"/>
          <w:szCs w:val="24"/>
        </w:rPr>
        <w:t xml:space="preserve">. Este processo de descarte </w:t>
      </w:r>
      <w:r w:rsidR="009A542E">
        <w:rPr>
          <w:rFonts w:ascii="Times New Roman" w:hAnsi="Times New Roman"/>
          <w:sz w:val="24"/>
          <w:szCs w:val="24"/>
        </w:rPr>
        <w:t xml:space="preserve">demanda tempo e elevado </w:t>
      </w:r>
      <w:r w:rsidR="009A542E" w:rsidRPr="00E61B3D">
        <w:rPr>
          <w:rFonts w:ascii="Times New Roman" w:hAnsi="Times New Roman"/>
          <w:sz w:val="24"/>
          <w:szCs w:val="24"/>
        </w:rPr>
        <w:t>c</w:t>
      </w:r>
      <w:r w:rsidR="00385E7D" w:rsidRPr="00E61B3D">
        <w:rPr>
          <w:rFonts w:ascii="Times New Roman" w:hAnsi="Times New Roman"/>
          <w:sz w:val="24"/>
          <w:szCs w:val="24"/>
        </w:rPr>
        <w:t>usto</w:t>
      </w:r>
      <w:r w:rsidR="009A542E" w:rsidRPr="00E61B3D">
        <w:rPr>
          <w:rFonts w:ascii="Times New Roman" w:hAnsi="Times New Roman"/>
          <w:sz w:val="24"/>
          <w:szCs w:val="24"/>
        </w:rPr>
        <w:t xml:space="preserve"> </w:t>
      </w:r>
      <w:r w:rsidR="00C14CBD" w:rsidRPr="00E61B3D">
        <w:rPr>
          <w:rFonts w:ascii="Times New Roman" w:hAnsi="Times New Roman"/>
          <w:sz w:val="24"/>
          <w:szCs w:val="24"/>
        </w:rPr>
        <w:t xml:space="preserve">o qual </w:t>
      </w:r>
      <w:r w:rsidR="009A542E" w:rsidRPr="00E61B3D">
        <w:rPr>
          <w:rFonts w:ascii="Times New Roman" w:hAnsi="Times New Roman"/>
          <w:sz w:val="24"/>
          <w:szCs w:val="24"/>
        </w:rPr>
        <w:t>não</w:t>
      </w:r>
      <w:r w:rsidR="009A542E">
        <w:rPr>
          <w:rFonts w:ascii="Times New Roman" w:hAnsi="Times New Roman"/>
          <w:sz w:val="24"/>
          <w:szCs w:val="24"/>
        </w:rPr>
        <w:t xml:space="preserve"> pode ser embutido no valor do diagnóstico.</w:t>
      </w:r>
    </w:p>
    <w:p w14:paraId="2219E01A" w14:textId="77777777" w:rsidR="00120053" w:rsidRPr="00E61B3D" w:rsidRDefault="00C14CBD" w:rsidP="00120053">
      <w:pPr>
        <w:spacing w:before="240" w:after="240" w:line="360" w:lineRule="auto"/>
        <w:ind w:firstLine="567"/>
        <w:contextualSpacing/>
        <w:jc w:val="both"/>
        <w:rPr>
          <w:rFonts w:ascii="Times New Roman" w:eastAsiaTheme="minorHAnsi" w:hAnsi="Times New Roman"/>
          <w:sz w:val="24"/>
          <w:szCs w:val="24"/>
        </w:rPr>
      </w:pPr>
      <w:r>
        <w:rPr>
          <w:rFonts w:ascii="Times New Roman" w:eastAsia="TimesNewRomanPSMT" w:hAnsi="Times New Roman"/>
          <w:sz w:val="24"/>
          <w:szCs w:val="20"/>
        </w:rPr>
        <w:t>O</w:t>
      </w:r>
      <w:r w:rsidR="00120053">
        <w:rPr>
          <w:rFonts w:ascii="Times New Roman" w:eastAsia="TimesNewRomanPSMT" w:hAnsi="Times New Roman"/>
          <w:sz w:val="24"/>
          <w:szCs w:val="20"/>
        </w:rPr>
        <w:t xml:space="preserve"> processamento das radiografias</w:t>
      </w:r>
      <w:r>
        <w:rPr>
          <w:rFonts w:ascii="Times New Roman" w:eastAsia="TimesNewRomanPSMT" w:hAnsi="Times New Roman"/>
          <w:sz w:val="24"/>
          <w:szCs w:val="20"/>
        </w:rPr>
        <w:t xml:space="preserve"> é realizado em quatro etapas</w:t>
      </w:r>
      <w:r w:rsidR="00120053">
        <w:rPr>
          <w:rFonts w:ascii="Times New Roman" w:eastAsia="TimesNewRomanPSMT" w:hAnsi="Times New Roman"/>
          <w:sz w:val="24"/>
          <w:szCs w:val="20"/>
        </w:rPr>
        <w:t xml:space="preserve">: revelação, fixação, enxágue e secagem. A solução reveladora tem como objetivo a boa visibilidade da imagem por meio da reação química entre haletos de prata presentes no filme e o agente revelador. Em seguida, a solução fixadora converte o haleto de prata em um sal solúvel. Após esse processo, há a formação de água residual, </w:t>
      </w:r>
      <w:r w:rsidRPr="00E61B3D">
        <w:rPr>
          <w:rFonts w:ascii="Times New Roman" w:eastAsia="TimesNewRomanPSMT" w:hAnsi="Times New Roman"/>
          <w:sz w:val="24"/>
          <w:szCs w:val="20"/>
        </w:rPr>
        <w:t>utilizada</w:t>
      </w:r>
      <w:r w:rsidR="00120053" w:rsidRPr="00E61B3D">
        <w:rPr>
          <w:rFonts w:ascii="Times New Roman" w:eastAsia="TimesNewRomanPSMT" w:hAnsi="Times New Roman"/>
          <w:sz w:val="24"/>
          <w:szCs w:val="20"/>
        </w:rPr>
        <w:t xml:space="preserve"> na etapa de remoção dos resíduos </w:t>
      </w:r>
      <w:r w:rsidRPr="00E61B3D">
        <w:rPr>
          <w:rFonts w:ascii="Times New Roman" w:eastAsia="TimesNewRomanPSMT" w:hAnsi="Times New Roman"/>
          <w:sz w:val="24"/>
          <w:szCs w:val="20"/>
        </w:rPr>
        <w:t>das</w:t>
      </w:r>
      <w:r w:rsidR="00120053">
        <w:rPr>
          <w:rFonts w:ascii="Times New Roman" w:eastAsia="TimesNewRomanPSMT" w:hAnsi="Times New Roman"/>
          <w:sz w:val="24"/>
          <w:szCs w:val="20"/>
        </w:rPr>
        <w:t xml:space="preserve"> soluções reveladora e fixadora</w:t>
      </w:r>
      <w:r w:rsidR="00BC4892">
        <w:rPr>
          <w:rFonts w:ascii="Times New Roman" w:eastAsia="TimesNewRomanPSMT" w:hAnsi="Times New Roman"/>
          <w:sz w:val="24"/>
          <w:szCs w:val="20"/>
        </w:rPr>
        <w:t xml:space="preserve"> (BORTOLETO et al, 2007)</w:t>
      </w:r>
      <w:r w:rsidR="00120053">
        <w:rPr>
          <w:rFonts w:ascii="Times New Roman" w:eastAsia="TimesNewRomanPSMT" w:hAnsi="Times New Roman"/>
          <w:sz w:val="24"/>
          <w:szCs w:val="20"/>
        </w:rPr>
        <w:t>.</w:t>
      </w:r>
      <w:r>
        <w:rPr>
          <w:rFonts w:ascii="Times New Roman" w:eastAsia="TimesNewRomanPSMT" w:hAnsi="Times New Roman"/>
          <w:sz w:val="24"/>
          <w:szCs w:val="20"/>
        </w:rPr>
        <w:t xml:space="preserve"> Ao final</w:t>
      </w:r>
      <w:r w:rsidR="00120053">
        <w:rPr>
          <w:rFonts w:ascii="Times New Roman" w:eastAsia="TimesNewRomanPSMT" w:hAnsi="Times New Roman"/>
          <w:sz w:val="24"/>
          <w:szCs w:val="20"/>
        </w:rPr>
        <w:t xml:space="preserve"> do processamento do filme, </w:t>
      </w:r>
      <w:r w:rsidRPr="00E61B3D">
        <w:rPr>
          <w:rFonts w:ascii="Times New Roman" w:eastAsia="TimesNewRomanPSMT" w:hAnsi="Times New Roman"/>
          <w:sz w:val="24"/>
          <w:szCs w:val="20"/>
        </w:rPr>
        <w:t>são gerados</w:t>
      </w:r>
      <w:r w:rsidR="00120053" w:rsidRPr="00E61B3D">
        <w:rPr>
          <w:rFonts w:ascii="Times New Roman" w:eastAsia="TimesNewRomanPSMT" w:hAnsi="Times New Roman"/>
          <w:sz w:val="24"/>
          <w:szCs w:val="20"/>
        </w:rPr>
        <w:t xml:space="preserve"> três efluentes: água residual, fixador </w:t>
      </w:r>
      <w:r w:rsidRPr="00E61B3D">
        <w:rPr>
          <w:rFonts w:ascii="Times New Roman" w:eastAsia="TimesNewRomanPSMT" w:hAnsi="Times New Roman"/>
          <w:sz w:val="24"/>
          <w:szCs w:val="20"/>
        </w:rPr>
        <w:t xml:space="preserve">e </w:t>
      </w:r>
      <w:r w:rsidR="00120053" w:rsidRPr="00E61B3D">
        <w:rPr>
          <w:rFonts w:ascii="Times New Roman" w:eastAsia="TimesNewRomanPSMT" w:hAnsi="Times New Roman"/>
          <w:sz w:val="24"/>
          <w:szCs w:val="20"/>
        </w:rPr>
        <w:t>revelador u</w:t>
      </w:r>
      <w:r w:rsidRPr="00E61B3D">
        <w:rPr>
          <w:rFonts w:ascii="Times New Roman" w:eastAsia="TimesNewRomanPSMT" w:hAnsi="Times New Roman"/>
          <w:sz w:val="24"/>
          <w:szCs w:val="20"/>
        </w:rPr>
        <w:t>tilizado no processo</w:t>
      </w:r>
      <w:r w:rsidR="00120053" w:rsidRPr="00E61B3D">
        <w:rPr>
          <w:rFonts w:ascii="Times New Roman" w:eastAsia="TimesNewRomanPSMT" w:hAnsi="Times New Roman"/>
          <w:sz w:val="24"/>
          <w:szCs w:val="20"/>
        </w:rPr>
        <w:t xml:space="preserve">. O revelador usado tem um alto teor de DQO (demanda química de oxigênio), além de componentes resultantes das reações químicas entre os haletos de prata com o agente de revelação. O fixador usado </w:t>
      </w:r>
      <w:r w:rsidRPr="00E61B3D">
        <w:rPr>
          <w:rFonts w:ascii="Times New Roman" w:eastAsia="TimesNewRomanPSMT" w:hAnsi="Times New Roman"/>
          <w:sz w:val="24"/>
          <w:szCs w:val="20"/>
        </w:rPr>
        <w:t>possui alto teor</w:t>
      </w:r>
      <w:r w:rsidR="00120053" w:rsidRPr="00E61B3D">
        <w:rPr>
          <w:rFonts w:ascii="Times New Roman" w:eastAsia="TimesNewRomanPSMT" w:hAnsi="Times New Roman"/>
          <w:sz w:val="24"/>
          <w:szCs w:val="20"/>
        </w:rPr>
        <w:t xml:space="preserve"> de prata na forma de complexo de ti</w:t>
      </w:r>
      <w:r w:rsidRPr="00E61B3D">
        <w:rPr>
          <w:rFonts w:ascii="Times New Roman" w:eastAsia="TimesNewRomanPSMT" w:hAnsi="Times New Roman"/>
          <w:sz w:val="24"/>
          <w:szCs w:val="20"/>
        </w:rPr>
        <w:t>o</w:t>
      </w:r>
      <w:r w:rsidR="00120053" w:rsidRPr="00E61B3D">
        <w:rPr>
          <w:rFonts w:ascii="Times New Roman" w:eastAsia="TimesNewRomanPSMT" w:hAnsi="Times New Roman"/>
          <w:sz w:val="24"/>
          <w:szCs w:val="20"/>
        </w:rPr>
        <w:t>ssulfato de prata com carga negativa</w:t>
      </w:r>
      <w:r w:rsidR="00120053" w:rsidRPr="00E61B3D">
        <w:rPr>
          <w:rFonts w:ascii="Aldine401BT" w:hAnsi="Aldine401BT" w:cs="Aldine401BT"/>
          <w:sz w:val="20"/>
          <w:szCs w:val="20"/>
        </w:rPr>
        <w:t xml:space="preserve"> </w:t>
      </w:r>
      <w:r w:rsidR="00120053" w:rsidRPr="00E61B3D">
        <w:rPr>
          <w:rFonts w:ascii="Times New Roman" w:hAnsi="Times New Roman"/>
          <w:sz w:val="24"/>
          <w:szCs w:val="24"/>
        </w:rPr>
        <w:t>([Ag(S</w:t>
      </w:r>
      <w:r w:rsidR="00120053" w:rsidRPr="00E61B3D">
        <w:rPr>
          <w:rFonts w:ascii="Times New Roman" w:hAnsi="Times New Roman"/>
          <w:sz w:val="24"/>
          <w:szCs w:val="24"/>
          <w:vertAlign w:val="subscript"/>
        </w:rPr>
        <w:t>2</w:t>
      </w:r>
      <w:r w:rsidR="00120053" w:rsidRPr="00E61B3D">
        <w:rPr>
          <w:rFonts w:ascii="Times New Roman" w:hAnsi="Times New Roman"/>
          <w:sz w:val="24"/>
          <w:szCs w:val="24"/>
        </w:rPr>
        <w:t>O</w:t>
      </w:r>
      <w:r w:rsidR="00120053" w:rsidRPr="00E61B3D">
        <w:rPr>
          <w:rFonts w:ascii="Times New Roman" w:hAnsi="Times New Roman"/>
          <w:sz w:val="24"/>
          <w:szCs w:val="24"/>
          <w:vertAlign w:val="subscript"/>
        </w:rPr>
        <w:t>3</w:t>
      </w:r>
      <w:r w:rsidR="00120053" w:rsidRPr="00E61B3D">
        <w:rPr>
          <w:rFonts w:ascii="Times New Roman" w:hAnsi="Times New Roman"/>
          <w:sz w:val="24"/>
          <w:szCs w:val="24"/>
        </w:rPr>
        <w:t>)</w:t>
      </w:r>
      <w:r w:rsidR="00120053" w:rsidRPr="00E61B3D">
        <w:rPr>
          <w:rFonts w:ascii="Times New Roman" w:hAnsi="Times New Roman"/>
          <w:sz w:val="24"/>
          <w:szCs w:val="24"/>
          <w:vertAlign w:val="subscript"/>
        </w:rPr>
        <w:t>2</w:t>
      </w:r>
      <w:r w:rsidR="00120053" w:rsidRPr="00E61B3D">
        <w:rPr>
          <w:rFonts w:ascii="Times New Roman" w:hAnsi="Times New Roman"/>
          <w:sz w:val="24"/>
          <w:szCs w:val="24"/>
        </w:rPr>
        <w:t>]</w:t>
      </w:r>
      <w:r w:rsidR="00120053" w:rsidRPr="00E61B3D">
        <w:rPr>
          <w:rFonts w:ascii="Times New Roman" w:hAnsi="Times New Roman"/>
          <w:sz w:val="24"/>
          <w:szCs w:val="24"/>
          <w:vertAlign w:val="superscript"/>
        </w:rPr>
        <w:t>-3</w:t>
      </w:r>
      <w:r w:rsidR="00120053" w:rsidRPr="00E61B3D">
        <w:rPr>
          <w:rFonts w:ascii="Times New Roman" w:hAnsi="Times New Roman"/>
          <w:sz w:val="24"/>
          <w:szCs w:val="24"/>
        </w:rPr>
        <w:t xml:space="preserve">). </w:t>
      </w:r>
      <w:r w:rsidRPr="00E61B3D">
        <w:rPr>
          <w:rFonts w:ascii="Times New Roman" w:hAnsi="Times New Roman"/>
          <w:sz w:val="24"/>
          <w:szCs w:val="24"/>
        </w:rPr>
        <w:t>Já a</w:t>
      </w:r>
      <w:r w:rsidR="00120053" w:rsidRPr="00E61B3D">
        <w:rPr>
          <w:rFonts w:ascii="Times New Roman" w:hAnsi="Times New Roman"/>
          <w:sz w:val="24"/>
          <w:szCs w:val="24"/>
        </w:rPr>
        <w:t xml:space="preserve"> água residual</w:t>
      </w:r>
      <w:r w:rsidRPr="00E61B3D">
        <w:rPr>
          <w:rFonts w:ascii="Times New Roman" w:hAnsi="Times New Roman"/>
          <w:sz w:val="24"/>
          <w:szCs w:val="24"/>
        </w:rPr>
        <w:t xml:space="preserve"> contém</w:t>
      </w:r>
      <w:r w:rsidR="00120053" w:rsidRPr="00E61B3D">
        <w:rPr>
          <w:rFonts w:ascii="Times New Roman" w:hAnsi="Times New Roman"/>
          <w:sz w:val="24"/>
          <w:szCs w:val="24"/>
        </w:rPr>
        <w:t xml:space="preserve"> baixa concentração de ti</w:t>
      </w:r>
      <w:r w:rsidRPr="00E61B3D">
        <w:rPr>
          <w:rFonts w:ascii="Times New Roman" w:hAnsi="Times New Roman"/>
          <w:sz w:val="24"/>
          <w:szCs w:val="24"/>
        </w:rPr>
        <w:t>o</w:t>
      </w:r>
      <w:r w:rsidR="00120053" w:rsidRPr="00E61B3D">
        <w:rPr>
          <w:rFonts w:ascii="Times New Roman" w:hAnsi="Times New Roman"/>
          <w:sz w:val="24"/>
          <w:szCs w:val="24"/>
        </w:rPr>
        <w:t>ssulfato de prata e de compostos fenó</w:t>
      </w:r>
      <w:r w:rsidRPr="00E61B3D">
        <w:rPr>
          <w:rFonts w:ascii="Times New Roman" w:hAnsi="Times New Roman"/>
          <w:sz w:val="24"/>
          <w:szCs w:val="24"/>
        </w:rPr>
        <w:t>l</w:t>
      </w:r>
      <w:r w:rsidR="00120053" w:rsidRPr="00E61B3D">
        <w:rPr>
          <w:rFonts w:ascii="Times New Roman" w:hAnsi="Times New Roman"/>
          <w:sz w:val="24"/>
          <w:szCs w:val="24"/>
        </w:rPr>
        <w:t>icos.</w:t>
      </w:r>
    </w:p>
    <w:p w14:paraId="55B6FC11" w14:textId="77777777" w:rsidR="000A2361" w:rsidRDefault="00120053" w:rsidP="00120053">
      <w:pPr>
        <w:spacing w:before="240" w:after="240" w:line="360" w:lineRule="auto"/>
        <w:ind w:firstLine="567"/>
        <w:contextualSpacing/>
        <w:jc w:val="both"/>
        <w:rPr>
          <w:rFonts w:ascii="Times New Roman" w:eastAsia="TimesNewRomanPSMT" w:hAnsi="Times New Roman"/>
          <w:sz w:val="24"/>
          <w:szCs w:val="20"/>
        </w:rPr>
      </w:pPr>
      <w:r w:rsidRPr="00E61B3D">
        <w:rPr>
          <w:rFonts w:ascii="Times New Roman" w:eastAsia="TimesNewRomanPSMT" w:hAnsi="Times New Roman"/>
          <w:sz w:val="24"/>
          <w:szCs w:val="20"/>
        </w:rPr>
        <w:t>O método de eletrocoagulação é uma opção para o tratamento de efluentes contendo</w:t>
      </w:r>
      <w:r w:rsidR="00E61B3D">
        <w:rPr>
          <w:rFonts w:ascii="Times New Roman" w:eastAsia="TimesNewRomanPSMT" w:hAnsi="Times New Roman"/>
          <w:sz w:val="24"/>
          <w:szCs w:val="20"/>
        </w:rPr>
        <w:t xml:space="preserve">, por exemplo, </w:t>
      </w:r>
      <w:r w:rsidRPr="00E61B3D">
        <w:rPr>
          <w:rFonts w:ascii="Times New Roman" w:eastAsia="TimesNewRomanPSMT" w:hAnsi="Times New Roman"/>
          <w:sz w:val="24"/>
          <w:szCs w:val="20"/>
        </w:rPr>
        <w:t>resíduos químicos, alimentares</w:t>
      </w:r>
      <w:r w:rsidR="00E61B3D">
        <w:rPr>
          <w:rFonts w:ascii="Times New Roman" w:eastAsia="TimesNewRomanPSMT" w:hAnsi="Times New Roman"/>
          <w:sz w:val="24"/>
          <w:szCs w:val="20"/>
        </w:rPr>
        <w:t xml:space="preserve"> e </w:t>
      </w:r>
      <w:r w:rsidRPr="00E61B3D">
        <w:rPr>
          <w:rFonts w:ascii="Times New Roman" w:eastAsia="TimesNewRomanPSMT" w:hAnsi="Times New Roman"/>
          <w:sz w:val="24"/>
          <w:szCs w:val="20"/>
        </w:rPr>
        <w:t xml:space="preserve">soluções contendo metais, </w:t>
      </w:r>
      <w:r w:rsidR="000A2361" w:rsidRPr="00E61B3D">
        <w:rPr>
          <w:rFonts w:ascii="Times New Roman" w:eastAsia="TimesNewRomanPSMT" w:hAnsi="Times New Roman"/>
          <w:sz w:val="24"/>
          <w:szCs w:val="20"/>
        </w:rPr>
        <w:t>configurando como uma</w:t>
      </w:r>
      <w:r w:rsidR="00C14CBD" w:rsidRPr="00E61B3D">
        <w:rPr>
          <w:rFonts w:ascii="Times New Roman" w:eastAsia="TimesNewRomanPSMT" w:hAnsi="Times New Roman"/>
          <w:sz w:val="24"/>
          <w:szCs w:val="20"/>
        </w:rPr>
        <w:t xml:space="preserve"> técnica econômica e ambientalmente viável </w:t>
      </w:r>
      <w:r w:rsidR="00D95655" w:rsidRPr="00E61B3D">
        <w:rPr>
          <w:rFonts w:ascii="Times New Roman" w:eastAsia="TimesNewRomanPSMT" w:hAnsi="Times New Roman"/>
          <w:sz w:val="24"/>
          <w:szCs w:val="20"/>
        </w:rPr>
        <w:t>para o tratamento de</w:t>
      </w:r>
      <w:r w:rsidRPr="00E61B3D">
        <w:rPr>
          <w:rFonts w:ascii="Times New Roman" w:eastAsia="TimesNewRomanPSMT" w:hAnsi="Times New Roman"/>
          <w:sz w:val="24"/>
          <w:szCs w:val="20"/>
        </w:rPr>
        <w:t xml:space="preserve"> águas residuais. É uma técnica poderosa, uma vez que </w:t>
      </w:r>
      <w:r w:rsidR="000A2361" w:rsidRPr="00E61B3D">
        <w:rPr>
          <w:rFonts w:ascii="Times New Roman" w:eastAsia="TimesNewRomanPSMT" w:hAnsi="Times New Roman"/>
          <w:sz w:val="24"/>
          <w:szCs w:val="20"/>
        </w:rPr>
        <w:t>a adsorção em superfícies de hidróxidos minerais é</w:t>
      </w:r>
      <w:r w:rsidRPr="00E61B3D">
        <w:rPr>
          <w:rFonts w:ascii="Times New Roman" w:eastAsia="TimesNewRomanPSMT" w:hAnsi="Times New Roman"/>
          <w:sz w:val="24"/>
          <w:szCs w:val="20"/>
        </w:rPr>
        <w:t xml:space="preserve"> cem vezes maior</w:t>
      </w:r>
      <w:r w:rsidRPr="00E61B3D">
        <w:rPr>
          <w:rFonts w:ascii="Times New Roman" w:eastAsia="TimesNewRomanPSMT" w:hAnsi="Times New Roman"/>
          <w:i/>
          <w:sz w:val="24"/>
          <w:szCs w:val="20"/>
        </w:rPr>
        <w:t xml:space="preserve"> </w:t>
      </w:r>
      <w:r w:rsidR="000A2361" w:rsidRPr="00E61B3D">
        <w:rPr>
          <w:rFonts w:ascii="Times New Roman" w:eastAsia="TimesNewRomanPSMT" w:hAnsi="Times New Roman"/>
          <w:sz w:val="24"/>
          <w:szCs w:val="20"/>
        </w:rPr>
        <w:t>comparado</w:t>
      </w:r>
      <w:r w:rsidRPr="00E61B3D">
        <w:rPr>
          <w:rFonts w:ascii="Times New Roman" w:eastAsia="TimesNewRomanPSMT" w:hAnsi="Times New Roman"/>
          <w:sz w:val="24"/>
          <w:szCs w:val="20"/>
        </w:rPr>
        <w:t xml:space="preserve"> aos pré</w:t>
      </w:r>
      <w:r w:rsidR="000A2361" w:rsidRPr="00E61B3D">
        <w:rPr>
          <w:rFonts w:ascii="Times New Roman" w:eastAsia="TimesNewRomanPSMT" w:hAnsi="Times New Roman"/>
          <w:sz w:val="24"/>
          <w:szCs w:val="20"/>
        </w:rPr>
        <w:t>-</w:t>
      </w:r>
      <w:r w:rsidRPr="00E61B3D">
        <w:rPr>
          <w:rFonts w:ascii="Times New Roman" w:eastAsia="TimesNewRomanPSMT" w:hAnsi="Times New Roman"/>
          <w:sz w:val="24"/>
          <w:szCs w:val="20"/>
        </w:rPr>
        <w:t>hidróxidos precipitados quan</w:t>
      </w:r>
      <w:r w:rsidR="000A2361" w:rsidRPr="00E61B3D">
        <w:rPr>
          <w:rFonts w:ascii="Times New Roman" w:eastAsia="TimesNewRomanPSMT" w:hAnsi="Times New Roman"/>
          <w:sz w:val="24"/>
          <w:szCs w:val="20"/>
        </w:rPr>
        <w:t>d</w:t>
      </w:r>
      <w:r w:rsidRPr="00E61B3D">
        <w:rPr>
          <w:rFonts w:ascii="Times New Roman" w:eastAsia="TimesNewRomanPSMT" w:hAnsi="Times New Roman"/>
          <w:sz w:val="24"/>
          <w:szCs w:val="20"/>
        </w:rPr>
        <w:t>o são utilizados hidróxidos de metais como coagulantes</w:t>
      </w:r>
      <w:r w:rsidR="00312429">
        <w:rPr>
          <w:rFonts w:ascii="Times New Roman" w:eastAsia="TimesNewRomanPSMT" w:hAnsi="Times New Roman"/>
          <w:sz w:val="24"/>
          <w:szCs w:val="20"/>
        </w:rPr>
        <w:t xml:space="preserve"> (</w:t>
      </w:r>
      <w:r w:rsidR="00312429" w:rsidRPr="00312429">
        <w:rPr>
          <w:rFonts w:ascii="Times New Roman" w:eastAsia="Times New Roman" w:hAnsi="Times New Roman"/>
          <w:color w:val="000000"/>
          <w:sz w:val="24"/>
          <w:lang w:eastAsia="pt-BR"/>
        </w:rPr>
        <w:t>BALBINOT</w:t>
      </w:r>
      <w:r w:rsidR="00312429">
        <w:rPr>
          <w:rFonts w:ascii="Times New Roman" w:eastAsia="Times New Roman" w:hAnsi="Times New Roman"/>
          <w:color w:val="000000"/>
          <w:sz w:val="24"/>
          <w:lang w:eastAsia="pt-BR"/>
        </w:rPr>
        <w:t>, 2015).</w:t>
      </w:r>
      <w:r w:rsidR="00E61B3D" w:rsidRPr="000A2361">
        <w:rPr>
          <w:rFonts w:ascii="Times New Roman" w:eastAsia="TimesNewRomanPSMT" w:hAnsi="Times New Roman"/>
          <w:sz w:val="24"/>
          <w:szCs w:val="20"/>
          <w:highlight w:val="yellow"/>
        </w:rPr>
        <w:t xml:space="preserve"> </w:t>
      </w:r>
    </w:p>
    <w:p w14:paraId="67F101F9" w14:textId="77777777" w:rsidR="00120053" w:rsidRDefault="00120053" w:rsidP="00120053">
      <w:pPr>
        <w:spacing w:before="240" w:after="240" w:line="360" w:lineRule="auto"/>
        <w:ind w:firstLine="567"/>
        <w:contextualSpacing/>
        <w:jc w:val="both"/>
        <w:rPr>
          <w:rFonts w:ascii="Times New Roman" w:eastAsia="TimesNewRomanPSMT" w:hAnsi="Times New Roman"/>
          <w:sz w:val="24"/>
          <w:szCs w:val="20"/>
        </w:rPr>
      </w:pPr>
      <w:r>
        <w:rPr>
          <w:rFonts w:ascii="Times New Roman" w:eastAsia="TimesNewRomanPSMT" w:hAnsi="Times New Roman"/>
          <w:sz w:val="24"/>
          <w:szCs w:val="20"/>
        </w:rPr>
        <w:t xml:space="preserve">Os equipamentos para a montagem de um eletrocoagulador são simples </w:t>
      </w:r>
      <w:r w:rsidRPr="00E61B3D">
        <w:rPr>
          <w:rFonts w:ascii="Times New Roman" w:eastAsia="TimesNewRomanPSMT" w:hAnsi="Times New Roman"/>
          <w:sz w:val="24"/>
          <w:szCs w:val="20"/>
        </w:rPr>
        <w:t xml:space="preserve">e </w:t>
      </w:r>
      <w:r w:rsidR="000A2361" w:rsidRPr="00E61B3D">
        <w:rPr>
          <w:rFonts w:ascii="Times New Roman" w:eastAsia="TimesNewRomanPSMT" w:hAnsi="Times New Roman"/>
          <w:sz w:val="24"/>
          <w:szCs w:val="20"/>
        </w:rPr>
        <w:t>usados</w:t>
      </w:r>
      <w:r w:rsidRPr="00E61B3D">
        <w:rPr>
          <w:rFonts w:ascii="Times New Roman" w:eastAsia="TimesNewRomanPSMT" w:hAnsi="Times New Roman"/>
          <w:sz w:val="24"/>
          <w:szCs w:val="20"/>
        </w:rPr>
        <w:t xml:space="preserve"> em todas as escalas de processo. Os custos para o </w:t>
      </w:r>
      <w:r w:rsidRPr="00E61B3D">
        <w:rPr>
          <w:rFonts w:ascii="Times New Roman" w:eastAsia="TimesNewRomanPSMT" w:hAnsi="Times New Roman"/>
          <w:i/>
          <w:sz w:val="24"/>
          <w:szCs w:val="20"/>
        </w:rPr>
        <w:t xml:space="preserve">start-up </w:t>
      </w:r>
      <w:r w:rsidRPr="00E61B3D">
        <w:rPr>
          <w:rFonts w:ascii="Times New Roman" w:eastAsia="TimesNewRomanPSMT" w:hAnsi="Times New Roman"/>
          <w:sz w:val="24"/>
          <w:szCs w:val="20"/>
        </w:rPr>
        <w:t xml:space="preserve">são consideravelmente baixos e </w:t>
      </w:r>
      <w:r w:rsidR="000A2361" w:rsidRPr="00E61B3D">
        <w:rPr>
          <w:rFonts w:ascii="Times New Roman" w:eastAsia="TimesNewRomanPSMT" w:hAnsi="Times New Roman"/>
          <w:sz w:val="24"/>
          <w:szCs w:val="20"/>
        </w:rPr>
        <w:t>com</w:t>
      </w:r>
      <w:r w:rsidRPr="00E61B3D">
        <w:rPr>
          <w:rFonts w:ascii="Times New Roman" w:eastAsia="TimesNewRomanPSMT" w:hAnsi="Times New Roman"/>
          <w:sz w:val="24"/>
          <w:szCs w:val="20"/>
        </w:rPr>
        <w:t xml:space="preserve"> baixo </w:t>
      </w:r>
      <w:r w:rsidRPr="00E61B3D">
        <w:rPr>
          <w:rFonts w:ascii="Times New Roman" w:eastAsia="TimesNewRomanPSMT" w:hAnsi="Times New Roman"/>
          <w:sz w:val="24"/>
          <w:szCs w:val="20"/>
        </w:rPr>
        <w:lastRenderedPageBreak/>
        <w:t xml:space="preserve">custo para a manutenção, </w:t>
      </w:r>
      <w:r w:rsidR="000A2361" w:rsidRPr="00E61B3D">
        <w:rPr>
          <w:rFonts w:ascii="Times New Roman" w:eastAsia="TimesNewRomanPSMT" w:hAnsi="Times New Roman"/>
          <w:sz w:val="24"/>
          <w:szCs w:val="20"/>
        </w:rPr>
        <w:t>sem a</w:t>
      </w:r>
      <w:r w:rsidRPr="00E61B3D">
        <w:rPr>
          <w:rFonts w:ascii="Times New Roman" w:eastAsia="TimesNewRomanPSMT" w:hAnsi="Times New Roman"/>
          <w:sz w:val="24"/>
          <w:szCs w:val="20"/>
        </w:rPr>
        <w:t xml:space="preserve"> adição de produt</w:t>
      </w:r>
      <w:r>
        <w:rPr>
          <w:rFonts w:ascii="Times New Roman" w:eastAsia="TimesNewRomanPSMT" w:hAnsi="Times New Roman"/>
          <w:sz w:val="24"/>
          <w:szCs w:val="20"/>
        </w:rPr>
        <w:t xml:space="preserve">os químicos no processo, não gerando outro tipo de resíduo contaminado </w:t>
      </w:r>
      <w:r w:rsidR="00312429">
        <w:rPr>
          <w:rFonts w:ascii="Times New Roman" w:eastAsia="TimesNewRomanPSMT" w:hAnsi="Times New Roman"/>
          <w:sz w:val="24"/>
          <w:szCs w:val="20"/>
        </w:rPr>
        <w:t>(</w:t>
      </w:r>
      <w:r w:rsidR="00312429" w:rsidRPr="00312429">
        <w:rPr>
          <w:rFonts w:ascii="Times New Roman" w:eastAsia="Times New Roman" w:hAnsi="Times New Roman"/>
          <w:color w:val="000000"/>
          <w:sz w:val="24"/>
          <w:lang w:eastAsia="pt-BR"/>
        </w:rPr>
        <w:t>BALBINOT</w:t>
      </w:r>
      <w:r w:rsidR="00312429">
        <w:rPr>
          <w:rFonts w:ascii="Times New Roman" w:eastAsia="Times New Roman" w:hAnsi="Times New Roman"/>
          <w:color w:val="000000"/>
          <w:sz w:val="24"/>
          <w:lang w:eastAsia="pt-BR"/>
        </w:rPr>
        <w:t>, 2015)</w:t>
      </w:r>
      <w:r>
        <w:rPr>
          <w:rFonts w:ascii="Times New Roman" w:eastAsia="TimesNewRomanPSMT" w:hAnsi="Times New Roman"/>
          <w:sz w:val="24"/>
          <w:szCs w:val="20"/>
        </w:rPr>
        <w:t>.</w:t>
      </w:r>
    </w:p>
    <w:p w14:paraId="23E59995" w14:textId="77777777" w:rsidR="00120053" w:rsidRDefault="00120053" w:rsidP="00120053">
      <w:pPr>
        <w:widowControl w:val="0"/>
        <w:autoSpaceDE w:val="0"/>
        <w:autoSpaceDN w:val="0"/>
        <w:adjustRightInd w:val="0"/>
        <w:spacing w:before="240" w:after="240" w:line="360" w:lineRule="auto"/>
        <w:ind w:firstLine="567"/>
        <w:contextualSpacing/>
        <w:jc w:val="both"/>
        <w:rPr>
          <w:rFonts w:ascii="Times New Roman" w:eastAsia="TimesNewRomanPSMT" w:hAnsi="Times New Roman"/>
          <w:sz w:val="24"/>
          <w:szCs w:val="20"/>
        </w:rPr>
      </w:pPr>
      <w:r>
        <w:rPr>
          <w:rFonts w:ascii="Times New Roman" w:eastAsia="TimesNewRomanPSMT" w:hAnsi="Times New Roman"/>
          <w:sz w:val="24"/>
          <w:szCs w:val="20"/>
        </w:rPr>
        <w:t>Nesse processo, há a formação de lodo a partir de um conjunto de eletrodos ligados a uma fonte extrínseca e “</w:t>
      </w:r>
      <w:r>
        <w:rPr>
          <w:rFonts w:ascii="Times New Roman" w:eastAsia="TimesNewRomanPSMT" w:hAnsi="Times New Roman"/>
          <w:i/>
          <w:sz w:val="24"/>
          <w:szCs w:val="20"/>
        </w:rPr>
        <w:t xml:space="preserve">in situ” </w:t>
      </w:r>
      <w:r>
        <w:rPr>
          <w:rFonts w:ascii="Times New Roman" w:eastAsia="TimesNewRomanPSMT" w:hAnsi="Times New Roman"/>
          <w:sz w:val="24"/>
          <w:szCs w:val="20"/>
        </w:rPr>
        <w:t xml:space="preserve">pela dissolução anódica de alumínio ou ferro, incluindo a produção de hidróxidos pela hidrólise da água </w:t>
      </w:r>
      <w:r w:rsidRPr="00E61B3D">
        <w:rPr>
          <w:rFonts w:ascii="Times New Roman" w:eastAsia="TimesNewRomanPSMT" w:hAnsi="Times New Roman"/>
          <w:sz w:val="24"/>
          <w:szCs w:val="20"/>
        </w:rPr>
        <w:t>no c</w:t>
      </w:r>
      <w:r w:rsidR="000A2361" w:rsidRPr="00E61B3D">
        <w:rPr>
          <w:rFonts w:ascii="Times New Roman" w:eastAsia="TimesNewRomanPSMT" w:hAnsi="Times New Roman"/>
          <w:sz w:val="24"/>
          <w:szCs w:val="20"/>
        </w:rPr>
        <w:t>á</w:t>
      </w:r>
      <w:r w:rsidRPr="00E61B3D">
        <w:rPr>
          <w:rFonts w:ascii="Times New Roman" w:eastAsia="TimesNewRomanPSMT" w:hAnsi="Times New Roman"/>
          <w:sz w:val="24"/>
          <w:szCs w:val="20"/>
        </w:rPr>
        <w:t xml:space="preserve">todo, onde há a desestabilização e agregação de partículas, </w:t>
      </w:r>
      <w:r w:rsidR="000A2361" w:rsidRPr="00E61B3D">
        <w:rPr>
          <w:rFonts w:ascii="Times New Roman" w:eastAsia="TimesNewRomanPSMT" w:hAnsi="Times New Roman"/>
          <w:sz w:val="24"/>
          <w:szCs w:val="20"/>
        </w:rPr>
        <w:t>ocasionando</w:t>
      </w:r>
      <w:r w:rsidRPr="00E61B3D">
        <w:rPr>
          <w:rFonts w:ascii="Times New Roman" w:eastAsia="TimesNewRomanPSMT" w:hAnsi="Times New Roman"/>
          <w:sz w:val="24"/>
          <w:szCs w:val="20"/>
        </w:rPr>
        <w:t xml:space="preserve"> a adsorção dos contaminantes</w:t>
      </w:r>
      <w:r>
        <w:rPr>
          <w:rFonts w:ascii="Times New Roman" w:eastAsia="TimesNewRomanPSMT" w:hAnsi="Times New Roman"/>
          <w:sz w:val="24"/>
          <w:szCs w:val="20"/>
        </w:rPr>
        <w:t xml:space="preserve"> dissolvidos e ocorrendo precipitação</w:t>
      </w:r>
      <w:r w:rsidR="00E61B3D">
        <w:rPr>
          <w:rFonts w:ascii="Times New Roman" w:eastAsia="TimesNewRomanPSMT" w:hAnsi="Times New Roman"/>
          <w:sz w:val="24"/>
          <w:szCs w:val="20"/>
        </w:rPr>
        <w:t xml:space="preserve"> do metal</w:t>
      </w:r>
      <w:r w:rsidR="00312429">
        <w:rPr>
          <w:rFonts w:ascii="Times New Roman" w:eastAsia="TimesNewRomanPSMT" w:hAnsi="Times New Roman"/>
          <w:sz w:val="24"/>
          <w:szCs w:val="20"/>
        </w:rPr>
        <w:t xml:space="preserve"> (</w:t>
      </w:r>
      <w:r w:rsidR="00312429" w:rsidRPr="00312429">
        <w:rPr>
          <w:rFonts w:ascii="Times New Roman" w:eastAsia="Times New Roman" w:hAnsi="Times New Roman"/>
          <w:color w:val="000000"/>
          <w:sz w:val="24"/>
          <w:lang w:eastAsia="pt-BR"/>
        </w:rPr>
        <w:t>BALBINOT</w:t>
      </w:r>
      <w:r w:rsidR="00312429">
        <w:rPr>
          <w:rFonts w:ascii="Times New Roman" w:eastAsia="Times New Roman" w:hAnsi="Times New Roman"/>
          <w:color w:val="000000"/>
          <w:sz w:val="24"/>
          <w:lang w:eastAsia="pt-BR"/>
        </w:rPr>
        <w:t>, 2015</w:t>
      </w:r>
      <w:r w:rsidR="00A153D0">
        <w:rPr>
          <w:rFonts w:ascii="Times New Roman" w:eastAsia="Times New Roman" w:hAnsi="Times New Roman"/>
          <w:color w:val="000000"/>
          <w:sz w:val="24"/>
          <w:lang w:eastAsia="pt-BR"/>
        </w:rPr>
        <w:t xml:space="preserve">; </w:t>
      </w:r>
      <w:r w:rsidR="00A153D0" w:rsidRPr="00A153D0">
        <w:rPr>
          <w:rFonts w:ascii="Times New Roman" w:hAnsi="Times New Roman"/>
          <w:sz w:val="24"/>
          <w:szCs w:val="24"/>
        </w:rPr>
        <w:t xml:space="preserve">AOUNI </w:t>
      </w:r>
      <w:r w:rsidR="00A153D0">
        <w:rPr>
          <w:rFonts w:ascii="Times New Roman" w:hAnsi="Times New Roman"/>
          <w:sz w:val="24"/>
          <w:szCs w:val="24"/>
        </w:rPr>
        <w:t xml:space="preserve">et al, 2009; </w:t>
      </w:r>
      <w:r w:rsidR="00A153D0" w:rsidRPr="00A153D0">
        <w:rPr>
          <w:rFonts w:ascii="Times New Roman" w:hAnsi="Times New Roman"/>
          <w:sz w:val="24"/>
          <w:szCs w:val="24"/>
        </w:rPr>
        <w:t xml:space="preserve">ONCEL </w:t>
      </w:r>
      <w:r w:rsidR="00A153D0">
        <w:rPr>
          <w:rFonts w:ascii="Times New Roman" w:hAnsi="Times New Roman"/>
          <w:sz w:val="24"/>
          <w:szCs w:val="24"/>
        </w:rPr>
        <w:t>et al, 2013)</w:t>
      </w:r>
      <w:r w:rsidRPr="00E61B3D">
        <w:rPr>
          <w:rFonts w:ascii="Times New Roman" w:eastAsia="TimesNewRomanPSMT" w:hAnsi="Times New Roman"/>
          <w:b/>
          <w:bCs/>
          <w:sz w:val="24"/>
          <w:szCs w:val="20"/>
        </w:rPr>
        <w:t>.</w:t>
      </w:r>
      <w:r>
        <w:rPr>
          <w:rFonts w:ascii="Times New Roman" w:eastAsia="TimesNewRomanPSMT" w:hAnsi="Times New Roman"/>
          <w:sz w:val="24"/>
          <w:szCs w:val="20"/>
        </w:rPr>
        <w:t xml:space="preserve"> </w:t>
      </w:r>
    </w:p>
    <w:p w14:paraId="3A41A0BA" w14:textId="77777777" w:rsidR="00120053" w:rsidRDefault="00120053" w:rsidP="00120053">
      <w:pPr>
        <w:spacing w:before="240" w:after="240" w:line="360" w:lineRule="auto"/>
        <w:ind w:firstLine="567"/>
        <w:contextualSpacing/>
        <w:jc w:val="both"/>
        <w:rPr>
          <w:rFonts w:ascii="Times New Roman" w:eastAsia="TimesNewRomanPSMT" w:hAnsi="Times New Roman"/>
          <w:sz w:val="24"/>
          <w:szCs w:val="20"/>
        </w:rPr>
      </w:pPr>
      <w:r>
        <w:rPr>
          <w:rFonts w:ascii="Times New Roman" w:eastAsia="TimesNewRomanPSMT" w:hAnsi="Times New Roman"/>
          <w:sz w:val="24"/>
          <w:szCs w:val="20"/>
        </w:rPr>
        <w:t xml:space="preserve">A eletrocoagulação tem início quando </w:t>
      </w:r>
      <w:r w:rsidRPr="00E61B3D">
        <w:rPr>
          <w:rFonts w:ascii="Times New Roman" w:eastAsia="TimesNewRomanPSMT" w:hAnsi="Times New Roman"/>
          <w:sz w:val="24"/>
          <w:szCs w:val="20"/>
        </w:rPr>
        <w:t xml:space="preserve">o </w:t>
      </w:r>
      <w:r w:rsidR="000A2361" w:rsidRPr="00E61B3D">
        <w:rPr>
          <w:rFonts w:ascii="Times New Roman" w:eastAsia="TimesNewRomanPSMT" w:hAnsi="Times New Roman"/>
          <w:sz w:val="24"/>
          <w:szCs w:val="20"/>
        </w:rPr>
        <w:t>â</w:t>
      </w:r>
      <w:r w:rsidRPr="00E61B3D">
        <w:rPr>
          <w:rFonts w:ascii="Times New Roman" w:eastAsia="TimesNewRomanPSMT" w:hAnsi="Times New Roman"/>
          <w:sz w:val="24"/>
          <w:szCs w:val="20"/>
        </w:rPr>
        <w:t>nodo de sacrifício sofre oxidação, onde há a liberação de íons metálicos e o c</w:t>
      </w:r>
      <w:r w:rsidR="000A2361" w:rsidRPr="00E61B3D">
        <w:rPr>
          <w:rFonts w:ascii="Times New Roman" w:eastAsia="TimesNewRomanPSMT" w:hAnsi="Times New Roman"/>
          <w:sz w:val="24"/>
          <w:szCs w:val="20"/>
        </w:rPr>
        <w:t>á</w:t>
      </w:r>
      <w:r w:rsidRPr="00E61B3D">
        <w:rPr>
          <w:rFonts w:ascii="Times New Roman" w:eastAsia="TimesNewRomanPSMT" w:hAnsi="Times New Roman"/>
          <w:sz w:val="24"/>
          <w:szCs w:val="20"/>
        </w:rPr>
        <w:t xml:space="preserve">todo sofre redução, formando íons hidroxila </w:t>
      </w:r>
      <w:r w:rsidR="000A2361" w:rsidRPr="00E61B3D">
        <w:rPr>
          <w:rFonts w:ascii="Times New Roman" w:eastAsia="TimesNewRomanPSMT" w:hAnsi="Times New Roman"/>
          <w:sz w:val="24"/>
          <w:szCs w:val="20"/>
        </w:rPr>
        <w:t>provenientes</w:t>
      </w:r>
      <w:r w:rsidRPr="00E61B3D">
        <w:rPr>
          <w:rFonts w:ascii="Times New Roman" w:eastAsia="TimesNewRomanPSMT" w:hAnsi="Times New Roman"/>
          <w:sz w:val="24"/>
          <w:szCs w:val="20"/>
        </w:rPr>
        <w:t xml:space="preserve"> da hidrólise da água. Em pH apropriado, os íons metálicos são </w:t>
      </w:r>
      <w:r w:rsidR="000A2361" w:rsidRPr="00E61B3D">
        <w:rPr>
          <w:rFonts w:ascii="Times New Roman" w:eastAsia="TimesNewRomanPSMT" w:hAnsi="Times New Roman"/>
          <w:sz w:val="24"/>
          <w:szCs w:val="20"/>
        </w:rPr>
        <w:t xml:space="preserve">dissolvidos e </w:t>
      </w:r>
      <w:r w:rsidRPr="00E61B3D">
        <w:rPr>
          <w:rFonts w:ascii="Times New Roman" w:eastAsia="TimesNewRomanPSMT" w:hAnsi="Times New Roman"/>
          <w:sz w:val="24"/>
          <w:szCs w:val="20"/>
        </w:rPr>
        <w:t xml:space="preserve">formam coagulantes </w:t>
      </w:r>
      <w:r w:rsidR="000A2361" w:rsidRPr="00E61B3D">
        <w:rPr>
          <w:rFonts w:ascii="Times New Roman" w:eastAsia="TimesNewRomanPSMT" w:hAnsi="Times New Roman"/>
          <w:sz w:val="24"/>
          <w:szCs w:val="20"/>
        </w:rPr>
        <w:t>que</w:t>
      </w:r>
      <w:r w:rsidRPr="00E61B3D">
        <w:rPr>
          <w:rFonts w:ascii="Times New Roman" w:eastAsia="TimesNewRomanPSMT" w:hAnsi="Times New Roman"/>
          <w:sz w:val="24"/>
          <w:szCs w:val="20"/>
        </w:rPr>
        <w:t xml:space="preserve"> quando combinados com íons hidroxila, formam hidróxidos metálicos</w:t>
      </w:r>
      <w:r w:rsidR="000A2361" w:rsidRPr="00E61B3D">
        <w:rPr>
          <w:rFonts w:ascii="Times New Roman" w:eastAsia="TimesNewRomanPSMT" w:hAnsi="Times New Roman"/>
          <w:sz w:val="24"/>
          <w:szCs w:val="20"/>
        </w:rPr>
        <w:t xml:space="preserve">, os quais contribuem para </w:t>
      </w:r>
      <w:r w:rsidRPr="00E61B3D">
        <w:rPr>
          <w:rFonts w:ascii="Times New Roman" w:eastAsia="TimesNewRomanPSMT" w:hAnsi="Times New Roman"/>
          <w:sz w:val="24"/>
          <w:szCs w:val="20"/>
        </w:rPr>
        <w:t>a formação de flocos por desestabilização que concedem a remoção dos poluentes por flotação ou sedimentação</w:t>
      </w:r>
      <w:r w:rsidR="00312429">
        <w:rPr>
          <w:rFonts w:ascii="Times New Roman" w:eastAsia="TimesNewRomanPSMT" w:hAnsi="Times New Roman"/>
          <w:sz w:val="24"/>
          <w:szCs w:val="20"/>
        </w:rPr>
        <w:t xml:space="preserve"> (</w:t>
      </w:r>
      <w:r w:rsidR="00312429" w:rsidRPr="00312429">
        <w:rPr>
          <w:rFonts w:ascii="Times New Roman" w:eastAsia="Times New Roman" w:hAnsi="Times New Roman"/>
          <w:color w:val="000000"/>
          <w:sz w:val="24"/>
          <w:lang w:eastAsia="pt-BR"/>
        </w:rPr>
        <w:t>BALBINOT</w:t>
      </w:r>
      <w:r w:rsidR="00312429">
        <w:rPr>
          <w:rFonts w:ascii="Times New Roman" w:eastAsia="Times New Roman" w:hAnsi="Times New Roman"/>
          <w:color w:val="000000"/>
          <w:sz w:val="24"/>
          <w:lang w:eastAsia="pt-BR"/>
        </w:rPr>
        <w:t>, 2015)</w:t>
      </w:r>
      <w:r w:rsidRPr="00E61B3D">
        <w:rPr>
          <w:rFonts w:ascii="Times New Roman" w:eastAsia="TimesNewRomanPSMT" w:hAnsi="Times New Roman"/>
          <w:b/>
          <w:bCs/>
          <w:sz w:val="24"/>
          <w:szCs w:val="20"/>
        </w:rPr>
        <w:t>.</w:t>
      </w:r>
    </w:p>
    <w:p w14:paraId="02BFD0DF" w14:textId="77777777" w:rsidR="000A2361" w:rsidRDefault="000A2361" w:rsidP="00B374CB">
      <w:pPr>
        <w:spacing w:after="0" w:line="360" w:lineRule="auto"/>
        <w:ind w:firstLine="708"/>
        <w:jc w:val="both"/>
        <w:rPr>
          <w:rFonts w:ascii="Times New Roman" w:hAnsi="Times New Roman"/>
          <w:sz w:val="24"/>
          <w:szCs w:val="24"/>
        </w:rPr>
      </w:pPr>
      <w:r w:rsidRPr="00E61B3D">
        <w:rPr>
          <w:rFonts w:ascii="Times New Roman" w:hAnsi="Times New Roman"/>
          <w:sz w:val="24"/>
          <w:szCs w:val="24"/>
        </w:rPr>
        <w:t>Com base neste princípio, o</w:t>
      </w:r>
      <w:r w:rsidR="009A542E">
        <w:rPr>
          <w:rFonts w:ascii="Times New Roman" w:hAnsi="Times New Roman"/>
          <w:sz w:val="24"/>
          <w:szCs w:val="24"/>
        </w:rPr>
        <w:t xml:space="preserve"> presente trabalho apresenta uma rota simples e de baixo custo para o tratamento dos efluentes </w:t>
      </w:r>
      <w:r w:rsidR="00E61B3D">
        <w:rPr>
          <w:rFonts w:ascii="Times New Roman" w:hAnsi="Times New Roman"/>
          <w:sz w:val="24"/>
          <w:szCs w:val="24"/>
        </w:rPr>
        <w:t xml:space="preserve">gerados em laboratórios de diagnóstico por imagem que empregam técnicas de radiografia utilizando-se o </w:t>
      </w:r>
      <w:r w:rsidR="00120053">
        <w:rPr>
          <w:rFonts w:ascii="Times New Roman" w:hAnsi="Times New Roman"/>
          <w:sz w:val="24"/>
          <w:szCs w:val="24"/>
        </w:rPr>
        <w:t>processo de eletrocoagulação</w:t>
      </w:r>
      <w:r w:rsidR="00E61B3D">
        <w:rPr>
          <w:rFonts w:ascii="Times New Roman" w:hAnsi="Times New Roman"/>
          <w:sz w:val="24"/>
          <w:szCs w:val="24"/>
        </w:rPr>
        <w:t xml:space="preserve"> para a adequação às normas ambientais vigentes no Brasil para o descarte de efluentes desta classe.</w:t>
      </w:r>
    </w:p>
    <w:bookmarkEnd w:id="1"/>
    <w:p w14:paraId="13BCB190" w14:textId="77777777" w:rsidR="00AB3E07" w:rsidRDefault="00F533C0" w:rsidP="00B374CB">
      <w:pPr>
        <w:pStyle w:val="PargrafodaLista"/>
        <w:numPr>
          <w:ilvl w:val="0"/>
          <w:numId w:val="2"/>
        </w:numPr>
        <w:spacing w:after="0" w:line="360" w:lineRule="auto"/>
        <w:jc w:val="both"/>
        <w:rPr>
          <w:rFonts w:ascii="Times New Roman" w:hAnsi="Times New Roman"/>
          <w:b/>
          <w:smallCaps/>
          <w:sz w:val="24"/>
          <w:szCs w:val="24"/>
        </w:rPr>
      </w:pPr>
      <w:r w:rsidRPr="00F533C0">
        <w:rPr>
          <w:rFonts w:ascii="Times New Roman" w:hAnsi="Times New Roman"/>
          <w:b/>
          <w:smallCaps/>
          <w:sz w:val="24"/>
          <w:szCs w:val="24"/>
        </w:rPr>
        <w:t xml:space="preserve">Materiais </w:t>
      </w:r>
      <w:r w:rsidR="005B40E9">
        <w:rPr>
          <w:rFonts w:ascii="Times New Roman" w:hAnsi="Times New Roman"/>
          <w:b/>
          <w:smallCaps/>
          <w:sz w:val="24"/>
          <w:szCs w:val="24"/>
        </w:rPr>
        <w:t>e</w:t>
      </w:r>
      <w:r w:rsidRPr="00F533C0">
        <w:rPr>
          <w:rFonts w:ascii="Times New Roman" w:hAnsi="Times New Roman"/>
          <w:b/>
          <w:smallCaps/>
          <w:sz w:val="24"/>
          <w:szCs w:val="24"/>
        </w:rPr>
        <w:t xml:space="preserve"> Métodos</w:t>
      </w:r>
    </w:p>
    <w:p w14:paraId="48F49DC8" w14:textId="77777777" w:rsidR="00635BED" w:rsidRPr="004D0083" w:rsidRDefault="005C0D41" w:rsidP="00635BED">
      <w:pPr>
        <w:spacing w:before="240" w:after="240" w:line="360" w:lineRule="auto"/>
        <w:ind w:firstLine="567"/>
        <w:jc w:val="both"/>
        <w:rPr>
          <w:rFonts w:ascii="Times New Roman" w:hAnsi="Times New Roman"/>
          <w:sz w:val="24"/>
          <w:szCs w:val="24"/>
        </w:rPr>
      </w:pPr>
      <w:r w:rsidRPr="004D0083">
        <w:rPr>
          <w:rFonts w:ascii="Times New Roman" w:hAnsi="Times New Roman"/>
          <w:sz w:val="24"/>
          <w:szCs w:val="24"/>
        </w:rPr>
        <w:t>A Figura 1 ilustra o diagrama de blocos para o</w:t>
      </w:r>
      <w:r w:rsidR="00635BED" w:rsidRPr="004D0083">
        <w:rPr>
          <w:rFonts w:ascii="Times New Roman" w:hAnsi="Times New Roman"/>
          <w:sz w:val="24"/>
          <w:szCs w:val="24"/>
        </w:rPr>
        <w:t xml:space="preserve"> pro</w:t>
      </w:r>
      <w:r w:rsidRPr="004D0083">
        <w:rPr>
          <w:rFonts w:ascii="Times New Roman" w:hAnsi="Times New Roman"/>
          <w:sz w:val="24"/>
          <w:szCs w:val="24"/>
        </w:rPr>
        <w:t>ce</w:t>
      </w:r>
      <w:r w:rsidR="000A2361" w:rsidRPr="004D0083">
        <w:rPr>
          <w:rFonts w:ascii="Times New Roman" w:hAnsi="Times New Roman"/>
          <w:sz w:val="24"/>
          <w:szCs w:val="24"/>
        </w:rPr>
        <w:t>dimento</w:t>
      </w:r>
      <w:r w:rsidR="00635BED" w:rsidRPr="004D0083">
        <w:rPr>
          <w:rFonts w:ascii="Times New Roman" w:hAnsi="Times New Roman"/>
          <w:sz w:val="24"/>
          <w:szCs w:val="24"/>
        </w:rPr>
        <w:t xml:space="preserve"> </w:t>
      </w:r>
      <w:r w:rsidRPr="004D0083">
        <w:rPr>
          <w:rFonts w:ascii="Times New Roman" w:hAnsi="Times New Roman"/>
          <w:sz w:val="24"/>
          <w:szCs w:val="24"/>
        </w:rPr>
        <w:t>do</w:t>
      </w:r>
      <w:r w:rsidR="00635BED" w:rsidRPr="004D0083">
        <w:rPr>
          <w:rFonts w:ascii="Times New Roman" w:hAnsi="Times New Roman"/>
          <w:sz w:val="24"/>
          <w:szCs w:val="24"/>
        </w:rPr>
        <w:t xml:space="preserve"> tratamento do efluente</w:t>
      </w:r>
      <w:r w:rsidR="000A2361" w:rsidRPr="004D0083">
        <w:rPr>
          <w:rFonts w:ascii="Times New Roman" w:hAnsi="Times New Roman"/>
          <w:sz w:val="24"/>
          <w:szCs w:val="24"/>
        </w:rPr>
        <w:t xml:space="preserve"> utilizado </w:t>
      </w:r>
      <w:r w:rsidRPr="004D0083">
        <w:rPr>
          <w:rFonts w:ascii="Times New Roman" w:hAnsi="Times New Roman"/>
          <w:sz w:val="24"/>
          <w:szCs w:val="24"/>
        </w:rPr>
        <w:t>no trabalho</w:t>
      </w:r>
      <w:r w:rsidR="00635BED" w:rsidRPr="004D0083">
        <w:rPr>
          <w:rFonts w:ascii="Times New Roman" w:hAnsi="Times New Roman"/>
          <w:sz w:val="24"/>
          <w:szCs w:val="24"/>
        </w:rPr>
        <w:t xml:space="preserve">. </w:t>
      </w:r>
    </w:p>
    <w:p w14:paraId="6B55E289" w14:textId="77777777" w:rsidR="005C0D41" w:rsidRPr="004D0083" w:rsidRDefault="005C0D41" w:rsidP="004D0083">
      <w:pPr>
        <w:spacing w:before="240" w:after="240" w:line="360" w:lineRule="auto"/>
        <w:ind w:firstLine="567"/>
        <w:jc w:val="center"/>
        <w:rPr>
          <w:rFonts w:ascii="Times New Roman" w:hAnsi="Times New Roman"/>
          <w:sz w:val="24"/>
          <w:szCs w:val="24"/>
        </w:rPr>
      </w:pPr>
      <w:r w:rsidRPr="004D0083">
        <w:rPr>
          <w:rFonts w:ascii="Times New Roman" w:hAnsi="Times New Roman"/>
          <w:sz w:val="24"/>
          <w:szCs w:val="24"/>
        </w:rPr>
        <w:t>Figura 1:</w:t>
      </w:r>
      <w:r w:rsidR="00E61B3D" w:rsidRPr="004D0083">
        <w:rPr>
          <w:rFonts w:ascii="Times New Roman" w:hAnsi="Times New Roman"/>
          <w:sz w:val="24"/>
          <w:szCs w:val="24"/>
        </w:rPr>
        <w:t xml:space="preserve"> Diagrama de blocos do tratamento do </w:t>
      </w:r>
      <w:r w:rsidR="004D0083" w:rsidRPr="004D0083">
        <w:rPr>
          <w:rFonts w:ascii="Times New Roman" w:hAnsi="Times New Roman"/>
          <w:sz w:val="24"/>
          <w:szCs w:val="24"/>
        </w:rPr>
        <w:t>efluente gerado em laboratórios de diagnóstico por imagem baseadas em radiografia simples.</w:t>
      </w:r>
    </w:p>
    <w:p w14:paraId="58E09CA7" w14:textId="77777777" w:rsidR="000010A5" w:rsidRDefault="00E61B3D" w:rsidP="000010A5">
      <w:pPr>
        <w:pStyle w:val="PargrafodaLista"/>
        <w:spacing w:after="0" w:line="360" w:lineRule="auto"/>
        <w:ind w:left="0"/>
        <w:jc w:val="center"/>
        <w:rPr>
          <w:rFonts w:ascii="Times New Roman" w:hAnsi="Times New Roman"/>
          <w:b/>
          <w:smallCaps/>
          <w:sz w:val="24"/>
          <w:szCs w:val="24"/>
        </w:rPr>
      </w:pPr>
      <w:r>
        <w:rPr>
          <w:rFonts w:ascii="Times New Roman" w:hAnsi="Times New Roman"/>
          <w:b/>
          <w:smallCaps/>
          <w:noProof/>
          <w:sz w:val="24"/>
          <w:szCs w:val="24"/>
        </w:rPr>
        <w:lastRenderedPageBreak/>
        <w:drawing>
          <wp:inline distT="0" distB="0" distL="0" distR="0" wp14:anchorId="0DA815B0" wp14:editId="0454ABF3">
            <wp:extent cx="4445000" cy="467595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a de blocos.jpg"/>
                    <pic:cNvPicPr/>
                  </pic:nvPicPr>
                  <pic:blipFill rotWithShape="1">
                    <a:blip r:embed="rId8">
                      <a:extLst>
                        <a:ext uri="{28A0092B-C50C-407E-A947-70E740481C1C}">
                          <a14:useLocalDpi xmlns:a14="http://schemas.microsoft.com/office/drawing/2010/main" val="0"/>
                        </a:ext>
                      </a:extLst>
                    </a:blip>
                    <a:srcRect l="22489" r="24045"/>
                    <a:stretch/>
                  </pic:blipFill>
                  <pic:spPr bwMode="auto">
                    <a:xfrm>
                      <a:off x="0" y="0"/>
                      <a:ext cx="4465486" cy="4697507"/>
                    </a:xfrm>
                    <a:prstGeom prst="rect">
                      <a:avLst/>
                    </a:prstGeom>
                    <a:ln>
                      <a:noFill/>
                    </a:ln>
                    <a:extLst>
                      <a:ext uri="{53640926-AAD7-44D8-BBD7-CCE9431645EC}">
                        <a14:shadowObscured xmlns:a14="http://schemas.microsoft.com/office/drawing/2010/main"/>
                      </a:ext>
                    </a:extLst>
                  </pic:spPr>
                </pic:pic>
              </a:graphicData>
            </a:graphic>
          </wp:inline>
        </w:drawing>
      </w:r>
    </w:p>
    <w:p w14:paraId="3BE68850" w14:textId="77777777" w:rsidR="00635BED" w:rsidRPr="005C0D41" w:rsidRDefault="005C0D41" w:rsidP="000010A5">
      <w:pPr>
        <w:pStyle w:val="PargrafodaLista"/>
        <w:spacing w:after="0" w:line="360" w:lineRule="auto"/>
        <w:ind w:left="0"/>
        <w:jc w:val="center"/>
        <w:rPr>
          <w:rFonts w:ascii="Times New Roman" w:hAnsi="Times New Roman"/>
          <w:bCs/>
          <w:smallCaps/>
          <w:sz w:val="24"/>
          <w:szCs w:val="24"/>
        </w:rPr>
      </w:pPr>
      <w:r w:rsidRPr="004D0083">
        <w:rPr>
          <w:rFonts w:ascii="Times New Roman" w:hAnsi="Times New Roman"/>
          <w:bCs/>
          <w:smallCaps/>
          <w:sz w:val="24"/>
          <w:szCs w:val="24"/>
        </w:rPr>
        <w:t>Fonte: o Autor (2019).</w:t>
      </w:r>
    </w:p>
    <w:p w14:paraId="16083025" w14:textId="77777777" w:rsidR="00635BED" w:rsidRDefault="00635BED" w:rsidP="00635BED">
      <w:pPr>
        <w:spacing w:before="240" w:after="240" w:line="360" w:lineRule="auto"/>
        <w:ind w:firstLine="567"/>
        <w:jc w:val="both"/>
        <w:rPr>
          <w:rFonts w:ascii="Times New Roman" w:eastAsia="Times New Roman" w:hAnsi="Times New Roman"/>
          <w:sz w:val="24"/>
          <w:szCs w:val="24"/>
        </w:rPr>
      </w:pPr>
      <w:r>
        <w:rPr>
          <w:rFonts w:ascii="Times New Roman" w:hAnsi="Times New Roman"/>
          <w:sz w:val="24"/>
          <w:szCs w:val="24"/>
        </w:rPr>
        <w:t xml:space="preserve">Inicialmente, o efluente proveniente do processamento radiográfico foi submetido </w:t>
      </w:r>
      <w:r w:rsidR="005431CB" w:rsidRPr="004D0083">
        <w:rPr>
          <w:rFonts w:ascii="Times New Roman" w:hAnsi="Times New Roman"/>
          <w:sz w:val="24"/>
          <w:szCs w:val="24"/>
        </w:rPr>
        <w:t>ao</w:t>
      </w:r>
      <w:r>
        <w:rPr>
          <w:rFonts w:ascii="Times New Roman" w:hAnsi="Times New Roman"/>
          <w:sz w:val="24"/>
          <w:szCs w:val="24"/>
        </w:rPr>
        <w:t xml:space="preserve"> processo de filtração em quatro filtros de areia dispostos em série para a retirada dos sólidos presentes. Os filtros foram </w:t>
      </w:r>
      <w:r w:rsidRPr="004D0083">
        <w:rPr>
          <w:rFonts w:ascii="Times New Roman" w:hAnsi="Times New Roman"/>
          <w:sz w:val="24"/>
          <w:szCs w:val="24"/>
        </w:rPr>
        <w:t xml:space="preserve">montados </w:t>
      </w:r>
      <w:r w:rsidR="005431CB" w:rsidRPr="004D0083">
        <w:rPr>
          <w:rFonts w:ascii="Times New Roman" w:hAnsi="Times New Roman"/>
          <w:sz w:val="24"/>
          <w:szCs w:val="24"/>
        </w:rPr>
        <w:t>baseados no descrito na literatura</w:t>
      </w:r>
      <w:r>
        <w:rPr>
          <w:rFonts w:ascii="Times New Roman" w:eastAsia="Times New Roman" w:hAnsi="Times New Roman"/>
          <w:sz w:val="24"/>
          <w:szCs w:val="24"/>
        </w:rPr>
        <w:t xml:space="preserve"> </w:t>
      </w:r>
      <w:r w:rsidR="005431CB">
        <w:rPr>
          <w:rFonts w:ascii="Times New Roman" w:eastAsia="Times New Roman" w:hAnsi="Times New Roman"/>
          <w:sz w:val="24"/>
          <w:szCs w:val="24"/>
        </w:rPr>
        <w:t>(</w:t>
      </w:r>
      <w:r w:rsidR="00225F64">
        <w:rPr>
          <w:rFonts w:ascii="Times New Roman" w:eastAsia="Times New Roman" w:hAnsi="Times New Roman"/>
          <w:sz w:val="24"/>
          <w:szCs w:val="24"/>
        </w:rPr>
        <w:t>TONETTI</w:t>
      </w:r>
      <w:r w:rsidR="009E5DC7">
        <w:rPr>
          <w:rFonts w:ascii="Times New Roman" w:eastAsia="Times New Roman" w:hAnsi="Times New Roman"/>
          <w:sz w:val="24"/>
          <w:szCs w:val="24"/>
        </w:rPr>
        <w:t xml:space="preserve"> et al, 2005)</w:t>
      </w:r>
      <w:r w:rsidRPr="00635BED">
        <w:rPr>
          <w:rFonts w:ascii="Times New Roman" w:eastAsia="Times New Roman" w:hAnsi="Times New Roman"/>
          <w:color w:val="FF0000"/>
          <w:sz w:val="24"/>
          <w:szCs w:val="24"/>
        </w:rPr>
        <w:t xml:space="preserve"> </w:t>
      </w:r>
      <w:r>
        <w:rPr>
          <w:rFonts w:ascii="Times New Roman" w:eastAsia="Times New Roman" w:hAnsi="Times New Roman"/>
          <w:sz w:val="24"/>
          <w:szCs w:val="24"/>
        </w:rPr>
        <w:t xml:space="preserve">e na Norma Brasileira da </w:t>
      </w:r>
      <w:r w:rsidRPr="009E5DC7">
        <w:rPr>
          <w:rFonts w:ascii="Times New Roman" w:eastAsia="Times New Roman" w:hAnsi="Times New Roman"/>
          <w:sz w:val="24"/>
          <w:szCs w:val="24"/>
        </w:rPr>
        <w:t>ABNT NBR 13969/97</w:t>
      </w:r>
      <w:r>
        <w:rPr>
          <w:rFonts w:ascii="Times New Roman" w:eastAsia="Times New Roman" w:hAnsi="Times New Roman"/>
          <w:sz w:val="24"/>
          <w:szCs w:val="24"/>
        </w:rPr>
        <w:t>. Como suporte foi utilizado um tubo de PVC de 40</w:t>
      </w:r>
      <w:r w:rsidR="005431CB">
        <w:rPr>
          <w:rFonts w:ascii="Times New Roman" w:eastAsia="Times New Roman" w:hAnsi="Times New Roman"/>
          <w:sz w:val="24"/>
          <w:szCs w:val="24"/>
        </w:rPr>
        <w:t xml:space="preserve"> </w:t>
      </w:r>
      <w:r>
        <w:rPr>
          <w:rFonts w:ascii="Times New Roman" w:eastAsia="Times New Roman" w:hAnsi="Times New Roman"/>
          <w:sz w:val="24"/>
          <w:szCs w:val="24"/>
        </w:rPr>
        <w:t xml:space="preserve">mm de diâmetro, com altura média de 50 cm. </w:t>
      </w:r>
      <w:r w:rsidR="005431CB" w:rsidRPr="004D0083">
        <w:rPr>
          <w:rFonts w:ascii="Times New Roman" w:eastAsia="Times New Roman" w:hAnsi="Times New Roman"/>
          <w:sz w:val="24"/>
          <w:szCs w:val="24"/>
        </w:rPr>
        <w:t>A Figura 2 representa a</w:t>
      </w:r>
      <w:r w:rsidRPr="004D0083">
        <w:rPr>
          <w:rFonts w:ascii="Times New Roman" w:eastAsia="Times New Roman" w:hAnsi="Times New Roman"/>
          <w:sz w:val="24"/>
          <w:szCs w:val="24"/>
        </w:rPr>
        <w:t xml:space="preserve"> montagem dos filtros de areia</w:t>
      </w:r>
      <w:r w:rsidR="005431CB" w:rsidRPr="004D0083">
        <w:rPr>
          <w:rFonts w:ascii="Times New Roman" w:eastAsia="Times New Roman" w:hAnsi="Times New Roman"/>
          <w:sz w:val="24"/>
          <w:szCs w:val="24"/>
        </w:rPr>
        <w:t xml:space="preserve"> com a</w:t>
      </w:r>
      <w:r w:rsidRPr="004D0083">
        <w:rPr>
          <w:rFonts w:ascii="Times New Roman" w:eastAsia="Times New Roman" w:hAnsi="Times New Roman"/>
          <w:sz w:val="24"/>
          <w:szCs w:val="24"/>
        </w:rPr>
        <w:t>s descrições das camadas d</w:t>
      </w:r>
      <w:r w:rsidR="005431CB" w:rsidRPr="004D0083">
        <w:rPr>
          <w:rFonts w:ascii="Times New Roman" w:eastAsia="Times New Roman" w:hAnsi="Times New Roman"/>
          <w:sz w:val="24"/>
          <w:szCs w:val="24"/>
        </w:rPr>
        <w:t>os</w:t>
      </w:r>
      <w:r w:rsidRPr="004D0083">
        <w:rPr>
          <w:rFonts w:ascii="Times New Roman" w:eastAsia="Times New Roman" w:hAnsi="Times New Roman"/>
          <w:sz w:val="24"/>
          <w:szCs w:val="24"/>
        </w:rPr>
        <w:t xml:space="preserve"> materiais</w:t>
      </w:r>
      <w:r w:rsidR="005431CB" w:rsidRPr="004D0083">
        <w:rPr>
          <w:rFonts w:ascii="Times New Roman" w:eastAsia="Times New Roman" w:hAnsi="Times New Roman"/>
          <w:sz w:val="24"/>
          <w:szCs w:val="24"/>
        </w:rPr>
        <w:t xml:space="preserve"> utilizados em cada etapa</w:t>
      </w:r>
      <w:r w:rsidRPr="004D0083">
        <w:rPr>
          <w:rFonts w:ascii="Times New Roman" w:eastAsia="Times New Roman" w:hAnsi="Times New Roman"/>
          <w:sz w:val="24"/>
          <w:szCs w:val="24"/>
        </w:rPr>
        <w:t>.</w:t>
      </w:r>
    </w:p>
    <w:p w14:paraId="532BAF11" w14:textId="77777777" w:rsidR="005431CB" w:rsidRDefault="005431CB" w:rsidP="004D0083">
      <w:pPr>
        <w:spacing w:before="240" w:after="240" w:line="360" w:lineRule="auto"/>
        <w:ind w:firstLine="567"/>
        <w:jc w:val="center"/>
        <w:rPr>
          <w:rFonts w:ascii="Times New Roman" w:eastAsia="Times New Roman" w:hAnsi="Times New Roman"/>
          <w:sz w:val="24"/>
          <w:szCs w:val="24"/>
        </w:rPr>
      </w:pPr>
      <w:r w:rsidRPr="004D0083">
        <w:rPr>
          <w:rFonts w:ascii="Times New Roman" w:eastAsia="Times New Roman" w:hAnsi="Times New Roman"/>
          <w:sz w:val="24"/>
          <w:szCs w:val="24"/>
        </w:rPr>
        <w:t xml:space="preserve">Figura 2: </w:t>
      </w:r>
      <w:r w:rsidR="004D0083" w:rsidRPr="004D0083">
        <w:rPr>
          <w:rFonts w:ascii="Times New Roman" w:eastAsia="Times New Roman" w:hAnsi="Times New Roman"/>
          <w:sz w:val="24"/>
          <w:szCs w:val="24"/>
        </w:rPr>
        <w:t>Diagrama</w:t>
      </w:r>
      <w:r w:rsidR="004D0083">
        <w:rPr>
          <w:rFonts w:ascii="Times New Roman" w:eastAsia="Times New Roman" w:hAnsi="Times New Roman"/>
          <w:sz w:val="24"/>
          <w:szCs w:val="24"/>
        </w:rPr>
        <w:t xml:space="preserve"> esquemático da montagem dos filtros de areia utilizados no processo de separação dos sólidos do efluente </w:t>
      </w:r>
      <w:r w:rsidR="004D0083" w:rsidRPr="004D0083">
        <w:rPr>
          <w:rFonts w:ascii="Times New Roman" w:hAnsi="Times New Roman"/>
          <w:sz w:val="24"/>
          <w:szCs w:val="24"/>
        </w:rPr>
        <w:t>gerado em laboratórios de diagnóstico por imagem baseadas em radiografia simples</w:t>
      </w:r>
    </w:p>
    <w:p w14:paraId="4DE7FEC9" w14:textId="77777777" w:rsidR="00635BED" w:rsidRPr="004D0083" w:rsidRDefault="00635BED" w:rsidP="00521DBD">
      <w:pPr>
        <w:spacing w:before="240" w:after="240" w:line="360" w:lineRule="auto"/>
        <w:ind w:firstLine="567"/>
        <w:jc w:val="center"/>
        <w:rPr>
          <w:rFonts w:ascii="Times New Roman" w:eastAsia="Times New Roman" w:hAnsi="Times New Roman"/>
          <w:sz w:val="24"/>
          <w:szCs w:val="24"/>
        </w:rPr>
      </w:pPr>
      <w:r w:rsidRPr="004D0083">
        <w:rPr>
          <w:rFonts w:ascii="Times New Roman" w:eastAsia="Times New Roman" w:hAnsi="Times New Roman"/>
          <w:noProof/>
          <w:sz w:val="24"/>
          <w:szCs w:val="24"/>
        </w:rPr>
        <w:lastRenderedPageBreak/>
        <w:drawing>
          <wp:inline distT="0" distB="0" distL="0" distR="0" wp14:anchorId="3F5546CB" wp14:editId="4589B875">
            <wp:extent cx="4530118" cy="147320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2.jpg"/>
                    <pic:cNvPicPr/>
                  </pic:nvPicPr>
                  <pic:blipFill rotWithShape="1">
                    <a:blip r:embed="rId9" cstate="print">
                      <a:extLst>
                        <a:ext uri="{28A0092B-C50C-407E-A947-70E740481C1C}">
                          <a14:useLocalDpi xmlns:a14="http://schemas.microsoft.com/office/drawing/2010/main" val="0"/>
                        </a:ext>
                      </a:extLst>
                    </a:blip>
                    <a:srcRect l="4407" t="11405" r="18877" b="44238"/>
                    <a:stretch/>
                  </pic:blipFill>
                  <pic:spPr bwMode="auto">
                    <a:xfrm>
                      <a:off x="0" y="0"/>
                      <a:ext cx="4776662" cy="1553376"/>
                    </a:xfrm>
                    <a:prstGeom prst="rect">
                      <a:avLst/>
                    </a:prstGeom>
                    <a:ln>
                      <a:noFill/>
                    </a:ln>
                    <a:extLst>
                      <a:ext uri="{53640926-AAD7-44D8-BBD7-CCE9431645EC}">
                        <a14:shadowObscured xmlns:a14="http://schemas.microsoft.com/office/drawing/2010/main"/>
                      </a:ext>
                    </a:extLst>
                  </pic:spPr>
                </pic:pic>
              </a:graphicData>
            </a:graphic>
          </wp:inline>
        </w:drawing>
      </w:r>
    </w:p>
    <w:p w14:paraId="5826362A" w14:textId="77777777" w:rsidR="005431CB" w:rsidRPr="004D0083" w:rsidRDefault="005431CB" w:rsidP="005431CB">
      <w:pPr>
        <w:pStyle w:val="PargrafodaLista"/>
        <w:spacing w:after="0" w:line="360" w:lineRule="auto"/>
        <w:ind w:left="0"/>
        <w:jc w:val="center"/>
        <w:rPr>
          <w:rFonts w:ascii="Times New Roman" w:hAnsi="Times New Roman"/>
          <w:bCs/>
          <w:smallCaps/>
          <w:sz w:val="24"/>
          <w:szCs w:val="24"/>
        </w:rPr>
      </w:pPr>
      <w:r w:rsidRPr="004D0083">
        <w:rPr>
          <w:rFonts w:ascii="Times New Roman" w:hAnsi="Times New Roman"/>
          <w:bCs/>
          <w:smallCaps/>
          <w:sz w:val="24"/>
          <w:szCs w:val="24"/>
        </w:rPr>
        <w:t>Fonte: o Autor (2019).</w:t>
      </w:r>
    </w:p>
    <w:p w14:paraId="4CF8DE98" w14:textId="77777777" w:rsidR="00521DBD" w:rsidRDefault="00635BED" w:rsidP="00521DBD">
      <w:pPr>
        <w:spacing w:before="240" w:after="240" w:line="360" w:lineRule="auto"/>
        <w:ind w:firstLine="567"/>
        <w:contextualSpacing/>
        <w:jc w:val="both"/>
        <w:rPr>
          <w:rFonts w:ascii="Times New Roman" w:eastAsia="Times New Roman" w:hAnsi="Times New Roman"/>
          <w:sz w:val="24"/>
          <w:szCs w:val="24"/>
        </w:rPr>
      </w:pPr>
      <w:r w:rsidRPr="004D0083">
        <w:rPr>
          <w:rFonts w:ascii="Times New Roman" w:hAnsi="Times New Roman"/>
          <w:sz w:val="24"/>
          <w:szCs w:val="24"/>
        </w:rPr>
        <w:t xml:space="preserve">Após a filtração, o efluente </w:t>
      </w:r>
      <w:r w:rsidR="00ED5067" w:rsidRPr="004D0083">
        <w:rPr>
          <w:rFonts w:ascii="Times New Roman" w:hAnsi="Times New Roman"/>
          <w:sz w:val="24"/>
          <w:szCs w:val="24"/>
        </w:rPr>
        <w:t>(</w:t>
      </w:r>
      <w:r w:rsidRPr="004D0083">
        <w:rPr>
          <w:rFonts w:ascii="Times New Roman" w:hAnsi="Times New Roman"/>
          <w:sz w:val="24"/>
          <w:szCs w:val="24"/>
        </w:rPr>
        <w:t>livre de sólidos</w:t>
      </w:r>
      <w:r w:rsidR="00ED5067" w:rsidRPr="004D0083">
        <w:rPr>
          <w:rFonts w:ascii="Times New Roman" w:hAnsi="Times New Roman"/>
          <w:sz w:val="24"/>
          <w:szCs w:val="24"/>
        </w:rPr>
        <w:t>)</w:t>
      </w:r>
      <w:r w:rsidRPr="004D0083">
        <w:rPr>
          <w:rFonts w:ascii="Times New Roman" w:hAnsi="Times New Roman"/>
          <w:sz w:val="24"/>
          <w:szCs w:val="24"/>
        </w:rPr>
        <w:t xml:space="preserve"> </w:t>
      </w:r>
      <w:r w:rsidR="00ED5067" w:rsidRPr="004D0083">
        <w:rPr>
          <w:rFonts w:ascii="Times New Roman" w:hAnsi="Times New Roman"/>
          <w:sz w:val="24"/>
          <w:szCs w:val="24"/>
        </w:rPr>
        <w:t>foi</w:t>
      </w:r>
      <w:r w:rsidRPr="004D0083">
        <w:rPr>
          <w:rFonts w:ascii="Times New Roman" w:hAnsi="Times New Roman"/>
          <w:sz w:val="24"/>
          <w:szCs w:val="24"/>
        </w:rPr>
        <w:t xml:space="preserve"> submetido ao processo de eletrocoagulação</w:t>
      </w:r>
      <w:r w:rsidR="00ED5067" w:rsidRPr="004D0083">
        <w:rPr>
          <w:rFonts w:ascii="Times New Roman" w:hAnsi="Times New Roman"/>
          <w:sz w:val="24"/>
          <w:szCs w:val="24"/>
        </w:rPr>
        <w:t xml:space="preserve"> para a retirada dos</w:t>
      </w:r>
      <w:r w:rsidR="00521DBD" w:rsidRPr="004D0083">
        <w:rPr>
          <w:rFonts w:ascii="Times New Roman" w:eastAsia="Times New Roman" w:hAnsi="Times New Roman"/>
          <w:sz w:val="24"/>
          <w:szCs w:val="24"/>
        </w:rPr>
        <w:t xml:space="preserve"> íons metálicos presentes, </w:t>
      </w:r>
      <w:r w:rsidR="00ED5067" w:rsidRPr="004D0083">
        <w:rPr>
          <w:rFonts w:ascii="Times New Roman" w:eastAsia="Times New Roman" w:hAnsi="Times New Roman"/>
          <w:sz w:val="24"/>
          <w:szCs w:val="24"/>
        </w:rPr>
        <w:t>possibilitando a</w:t>
      </w:r>
      <w:r w:rsidR="00521DBD" w:rsidRPr="004D0083">
        <w:rPr>
          <w:rFonts w:ascii="Times New Roman" w:eastAsia="Times New Roman" w:hAnsi="Times New Roman"/>
          <w:sz w:val="24"/>
          <w:szCs w:val="24"/>
        </w:rPr>
        <w:t xml:space="preserve"> deposição destes íons na forma metálica</w:t>
      </w:r>
      <w:r w:rsidR="00ED5067" w:rsidRPr="004D0083">
        <w:rPr>
          <w:rFonts w:ascii="Times New Roman" w:eastAsia="Times New Roman" w:hAnsi="Times New Roman"/>
          <w:sz w:val="24"/>
          <w:szCs w:val="24"/>
        </w:rPr>
        <w:t xml:space="preserve"> por coagulação</w:t>
      </w:r>
      <w:r w:rsidR="00521DBD" w:rsidRPr="004D0083">
        <w:rPr>
          <w:rFonts w:ascii="Times New Roman" w:eastAsia="Times New Roman" w:hAnsi="Times New Roman"/>
          <w:sz w:val="24"/>
          <w:szCs w:val="24"/>
        </w:rPr>
        <w:t xml:space="preserve">, e </w:t>
      </w:r>
      <w:r w:rsidR="00ED5067" w:rsidRPr="004D0083">
        <w:rPr>
          <w:rFonts w:ascii="Times New Roman" w:eastAsia="Times New Roman" w:hAnsi="Times New Roman"/>
          <w:sz w:val="24"/>
          <w:szCs w:val="24"/>
        </w:rPr>
        <w:t>a separação dos mesmos por precipitação</w:t>
      </w:r>
      <w:r w:rsidR="00BC12CC">
        <w:rPr>
          <w:rFonts w:ascii="Times New Roman" w:eastAsia="Times New Roman" w:hAnsi="Times New Roman"/>
          <w:sz w:val="24"/>
          <w:szCs w:val="24"/>
        </w:rPr>
        <w:t xml:space="preserve"> (GOMES, 2016)</w:t>
      </w:r>
      <w:r w:rsidR="00521DBD">
        <w:rPr>
          <w:rFonts w:ascii="Times New Roman" w:eastAsia="Times New Roman" w:hAnsi="Times New Roman"/>
          <w:sz w:val="24"/>
          <w:szCs w:val="24"/>
        </w:rPr>
        <w:t>.</w:t>
      </w:r>
    </w:p>
    <w:p w14:paraId="0280584C" w14:textId="77777777" w:rsidR="00521DBD" w:rsidRDefault="00635BED" w:rsidP="00521DBD">
      <w:pPr>
        <w:spacing w:before="240" w:after="240" w:line="360" w:lineRule="auto"/>
        <w:ind w:firstLine="567"/>
        <w:contextualSpacing/>
        <w:jc w:val="both"/>
        <w:rPr>
          <w:rFonts w:ascii="Times New Roman" w:eastAsia="Times New Roman" w:hAnsi="Times New Roman"/>
          <w:sz w:val="24"/>
          <w:szCs w:val="24"/>
        </w:rPr>
      </w:pPr>
      <w:r w:rsidRPr="00521DBD">
        <w:rPr>
          <w:rFonts w:ascii="Times New Roman" w:eastAsia="Times New Roman" w:hAnsi="Times New Roman"/>
          <w:sz w:val="24"/>
          <w:szCs w:val="24"/>
        </w:rPr>
        <w:t xml:space="preserve">O eletrocoagulador utilizado no processo foi confeccionado </w:t>
      </w:r>
      <w:r w:rsidR="00521DBD">
        <w:rPr>
          <w:rFonts w:ascii="Times New Roman" w:eastAsia="Times New Roman" w:hAnsi="Times New Roman"/>
          <w:sz w:val="24"/>
          <w:szCs w:val="24"/>
        </w:rPr>
        <w:t>como um sistema de eletrodos montado com quatro (4) placas de alumínio</w:t>
      </w:r>
      <w:r w:rsidR="009B6A0A">
        <w:rPr>
          <w:rFonts w:ascii="Times New Roman" w:eastAsia="Times New Roman" w:hAnsi="Times New Roman"/>
          <w:sz w:val="24"/>
          <w:szCs w:val="24"/>
        </w:rPr>
        <w:t xml:space="preserve"> </w:t>
      </w:r>
      <w:r w:rsidR="009B6A0A" w:rsidRPr="004D0083">
        <w:rPr>
          <w:rFonts w:ascii="Times New Roman" w:eastAsia="Times New Roman" w:hAnsi="Times New Roman"/>
          <w:sz w:val="24"/>
          <w:szCs w:val="24"/>
        </w:rPr>
        <w:t>(dois pares)</w:t>
      </w:r>
      <w:r w:rsidR="00521DBD" w:rsidRPr="004D0083">
        <w:rPr>
          <w:rFonts w:ascii="Times New Roman" w:eastAsia="Times New Roman" w:hAnsi="Times New Roman"/>
          <w:sz w:val="24"/>
          <w:szCs w:val="24"/>
        </w:rPr>
        <w:t>, com espessura de 0,5 mm, dispostas em paralelo</w:t>
      </w:r>
      <w:r w:rsidR="00B500FF" w:rsidRPr="004D0083">
        <w:rPr>
          <w:rFonts w:ascii="Times New Roman" w:eastAsia="Times New Roman" w:hAnsi="Times New Roman"/>
          <w:sz w:val="24"/>
          <w:szCs w:val="24"/>
        </w:rPr>
        <w:t xml:space="preserve"> com espaçamento de 4 cm </w:t>
      </w:r>
      <w:r w:rsidR="009B6A0A" w:rsidRPr="004D0083">
        <w:rPr>
          <w:rFonts w:ascii="Times New Roman" w:eastAsia="Times New Roman" w:hAnsi="Times New Roman"/>
          <w:sz w:val="24"/>
          <w:szCs w:val="24"/>
        </w:rPr>
        <w:t xml:space="preserve">e </w:t>
      </w:r>
      <w:r w:rsidR="00B500FF" w:rsidRPr="004D0083">
        <w:rPr>
          <w:rFonts w:ascii="Times New Roman" w:eastAsia="Times New Roman" w:hAnsi="Times New Roman"/>
          <w:sz w:val="24"/>
          <w:szCs w:val="24"/>
        </w:rPr>
        <w:t>separados</w:t>
      </w:r>
      <w:r w:rsidR="00B500FF">
        <w:rPr>
          <w:rFonts w:ascii="Times New Roman" w:eastAsia="Times New Roman" w:hAnsi="Times New Roman"/>
          <w:sz w:val="24"/>
          <w:szCs w:val="24"/>
        </w:rPr>
        <w:t xml:space="preserve"> por bastões isolantes aparafusados</w:t>
      </w:r>
      <w:r w:rsidR="009B6A0A">
        <w:rPr>
          <w:rFonts w:ascii="Times New Roman" w:eastAsia="Times New Roman" w:hAnsi="Times New Roman"/>
          <w:sz w:val="24"/>
          <w:szCs w:val="24"/>
        </w:rPr>
        <w:t xml:space="preserve"> </w:t>
      </w:r>
      <w:r w:rsidR="00B500FF">
        <w:rPr>
          <w:rFonts w:ascii="Times New Roman" w:eastAsia="Times New Roman" w:hAnsi="Times New Roman"/>
          <w:sz w:val="24"/>
          <w:szCs w:val="24"/>
        </w:rPr>
        <w:t>na estrutura</w:t>
      </w:r>
      <w:r w:rsidR="00521DBD">
        <w:rPr>
          <w:rFonts w:ascii="Times New Roman" w:eastAsia="Times New Roman" w:hAnsi="Times New Roman"/>
          <w:sz w:val="24"/>
          <w:szCs w:val="24"/>
        </w:rPr>
        <w:t xml:space="preserve">. Como recipiente foi utilizado </w:t>
      </w:r>
      <w:r w:rsidR="00B500FF">
        <w:rPr>
          <w:rFonts w:ascii="Times New Roman" w:eastAsia="Times New Roman" w:hAnsi="Times New Roman"/>
          <w:sz w:val="24"/>
          <w:szCs w:val="24"/>
        </w:rPr>
        <w:t xml:space="preserve">um </w:t>
      </w:r>
      <w:r w:rsidR="00521DBD">
        <w:rPr>
          <w:rFonts w:ascii="Times New Roman" w:eastAsia="Times New Roman" w:hAnsi="Times New Roman"/>
          <w:sz w:val="24"/>
          <w:szCs w:val="24"/>
        </w:rPr>
        <w:t xml:space="preserve">tanque </w:t>
      </w:r>
      <w:r w:rsidR="00B500FF">
        <w:rPr>
          <w:rFonts w:ascii="Times New Roman" w:eastAsia="Times New Roman" w:hAnsi="Times New Roman"/>
          <w:sz w:val="24"/>
          <w:szCs w:val="24"/>
        </w:rPr>
        <w:t xml:space="preserve">cúbico </w:t>
      </w:r>
      <w:r w:rsidR="00521DBD">
        <w:rPr>
          <w:rFonts w:ascii="Times New Roman" w:eastAsia="Times New Roman" w:hAnsi="Times New Roman"/>
          <w:sz w:val="24"/>
          <w:szCs w:val="24"/>
        </w:rPr>
        <w:t xml:space="preserve">de vidro </w:t>
      </w:r>
      <w:r w:rsidR="00B500FF">
        <w:rPr>
          <w:rFonts w:ascii="Times New Roman" w:eastAsia="Times New Roman" w:hAnsi="Times New Roman"/>
          <w:sz w:val="24"/>
          <w:szCs w:val="24"/>
        </w:rPr>
        <w:t>com 15 cm de aresta</w:t>
      </w:r>
      <w:r w:rsidR="00521DBD">
        <w:rPr>
          <w:rFonts w:ascii="Times New Roman" w:eastAsia="Times New Roman" w:hAnsi="Times New Roman"/>
          <w:sz w:val="24"/>
          <w:szCs w:val="24"/>
        </w:rPr>
        <w:t xml:space="preserve">. </w:t>
      </w:r>
      <w:r w:rsidR="00B500FF">
        <w:rPr>
          <w:rFonts w:ascii="Times New Roman" w:eastAsia="Times New Roman" w:hAnsi="Times New Roman"/>
          <w:sz w:val="24"/>
          <w:szCs w:val="24"/>
        </w:rPr>
        <w:t>C</w:t>
      </w:r>
      <w:r w:rsidR="00521DBD">
        <w:rPr>
          <w:rFonts w:ascii="Times New Roman" w:eastAsia="Times New Roman" w:hAnsi="Times New Roman"/>
          <w:sz w:val="24"/>
          <w:szCs w:val="24"/>
        </w:rPr>
        <w:t>om o auxílio de conectores tipo jacaré as placas de mesma polaridade foram interligadas e conectadas a uma fonte de precisão</w:t>
      </w:r>
      <w:r w:rsidR="009B6A0A">
        <w:rPr>
          <w:rFonts w:ascii="Times New Roman" w:eastAsia="Times New Roman" w:hAnsi="Times New Roman"/>
          <w:sz w:val="24"/>
          <w:szCs w:val="24"/>
        </w:rPr>
        <w:t xml:space="preserve"> (</w:t>
      </w:r>
      <w:r w:rsidR="00B500FF">
        <w:rPr>
          <w:rFonts w:ascii="Times New Roman" w:eastAsia="Times New Roman" w:hAnsi="Times New Roman"/>
          <w:sz w:val="24"/>
          <w:szCs w:val="24"/>
        </w:rPr>
        <w:t>F</w:t>
      </w:r>
      <w:r w:rsidR="00521DBD">
        <w:rPr>
          <w:rFonts w:ascii="Times New Roman" w:eastAsia="Times New Roman" w:hAnsi="Times New Roman"/>
          <w:sz w:val="24"/>
          <w:szCs w:val="24"/>
        </w:rPr>
        <w:t xml:space="preserve">igura </w:t>
      </w:r>
      <w:r w:rsidR="00B500FF">
        <w:rPr>
          <w:rFonts w:ascii="Times New Roman" w:eastAsia="Times New Roman" w:hAnsi="Times New Roman"/>
          <w:sz w:val="24"/>
          <w:szCs w:val="24"/>
        </w:rPr>
        <w:t>03</w:t>
      </w:r>
      <w:r w:rsidR="009B6A0A">
        <w:rPr>
          <w:rFonts w:ascii="Times New Roman" w:eastAsia="Times New Roman" w:hAnsi="Times New Roman"/>
          <w:sz w:val="24"/>
          <w:szCs w:val="24"/>
        </w:rPr>
        <w:t>)</w:t>
      </w:r>
      <w:r w:rsidR="00521DBD">
        <w:rPr>
          <w:rFonts w:ascii="Times New Roman" w:eastAsia="Times New Roman" w:hAnsi="Times New Roman"/>
          <w:sz w:val="24"/>
          <w:szCs w:val="24"/>
        </w:rPr>
        <w:t>.</w:t>
      </w:r>
    </w:p>
    <w:p w14:paraId="10C7FE61" w14:textId="77777777" w:rsidR="004D0083" w:rsidRDefault="004D0083" w:rsidP="00521DBD">
      <w:pPr>
        <w:spacing w:before="240" w:after="240" w:line="360" w:lineRule="auto"/>
        <w:ind w:firstLine="567"/>
        <w:contextualSpacing/>
        <w:jc w:val="both"/>
        <w:rPr>
          <w:rFonts w:ascii="Times New Roman" w:eastAsia="Times New Roman" w:hAnsi="Times New Roman"/>
          <w:sz w:val="24"/>
          <w:szCs w:val="24"/>
        </w:rPr>
      </w:pPr>
    </w:p>
    <w:p w14:paraId="63768D81" w14:textId="77777777" w:rsidR="00FE3704" w:rsidRPr="004D0083" w:rsidRDefault="00FE3704" w:rsidP="004D0083">
      <w:pPr>
        <w:spacing w:before="240" w:after="240" w:line="360" w:lineRule="auto"/>
        <w:ind w:firstLine="567"/>
        <w:jc w:val="center"/>
        <w:rPr>
          <w:rFonts w:ascii="Times New Roman" w:eastAsia="Times New Roman" w:hAnsi="Times New Roman"/>
          <w:sz w:val="24"/>
          <w:szCs w:val="24"/>
        </w:rPr>
      </w:pPr>
      <w:r w:rsidRPr="004D0083">
        <w:rPr>
          <w:rFonts w:ascii="Times New Roman" w:eastAsia="Times New Roman" w:hAnsi="Times New Roman"/>
          <w:sz w:val="24"/>
          <w:szCs w:val="24"/>
        </w:rPr>
        <w:t xml:space="preserve">Figura 03: </w:t>
      </w:r>
      <w:r w:rsidR="004D0083">
        <w:rPr>
          <w:rFonts w:ascii="Times New Roman" w:eastAsia="Times New Roman" w:hAnsi="Times New Roman"/>
          <w:sz w:val="24"/>
          <w:szCs w:val="24"/>
        </w:rPr>
        <w:t>Diagrama esquemático da fonte de tensão e do conjunto de placas montadas na cuba, formando o e</w:t>
      </w:r>
      <w:r w:rsidRPr="004D0083">
        <w:rPr>
          <w:rFonts w:ascii="Times New Roman" w:eastAsia="Times New Roman" w:hAnsi="Times New Roman"/>
          <w:sz w:val="24"/>
          <w:szCs w:val="24"/>
        </w:rPr>
        <w:t>letrocoagulador</w:t>
      </w:r>
      <w:r w:rsidR="004D0083">
        <w:rPr>
          <w:rFonts w:ascii="Times New Roman" w:eastAsia="Times New Roman" w:hAnsi="Times New Roman"/>
          <w:sz w:val="24"/>
          <w:szCs w:val="24"/>
        </w:rPr>
        <w:t xml:space="preserve"> utilizado</w:t>
      </w:r>
      <w:r w:rsidRPr="004D0083">
        <w:rPr>
          <w:rFonts w:ascii="Times New Roman" w:eastAsia="Times New Roman" w:hAnsi="Times New Roman"/>
          <w:sz w:val="24"/>
          <w:szCs w:val="24"/>
        </w:rPr>
        <w:t>.</w:t>
      </w:r>
    </w:p>
    <w:p w14:paraId="561F7C88" w14:textId="77777777" w:rsidR="00FE3704" w:rsidRDefault="00FE3704" w:rsidP="00FE3704">
      <w:pPr>
        <w:spacing w:before="240" w:after="240" w:line="360" w:lineRule="auto"/>
        <w:jc w:val="center"/>
        <w:rPr>
          <w:rFonts w:ascii="Times New Roman" w:eastAsia="Times New Roman" w:hAnsi="Times New Roman"/>
          <w:b/>
          <w:sz w:val="20"/>
          <w:szCs w:val="24"/>
          <w:highlight w:val="yellow"/>
        </w:rPr>
      </w:pPr>
      <w:bookmarkStart w:id="2" w:name="_Hlk529548247"/>
      <w:r>
        <w:rPr>
          <w:noProof/>
        </w:rPr>
        <w:drawing>
          <wp:inline distT="0" distB="0" distL="0" distR="0" wp14:anchorId="4F762AC2" wp14:editId="03532E8B">
            <wp:extent cx="4499610" cy="2057400"/>
            <wp:effectExtent l="0" t="0" r="0" b="0"/>
            <wp:docPr id="5" name="Imagem 5"/>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0">
                      <a:extLst>
                        <a:ext uri="{28A0092B-C50C-407E-A947-70E740481C1C}">
                          <a14:useLocalDpi xmlns:a14="http://schemas.microsoft.com/office/drawing/2010/main" val="0"/>
                        </a:ext>
                      </a:extLst>
                    </a:blip>
                    <a:stretch>
                      <a:fillRect/>
                    </a:stretch>
                  </pic:blipFill>
                  <pic:spPr>
                    <a:xfrm>
                      <a:off x="0" y="0"/>
                      <a:ext cx="4499610" cy="2057400"/>
                    </a:xfrm>
                    <a:prstGeom prst="rect">
                      <a:avLst/>
                    </a:prstGeom>
                  </pic:spPr>
                </pic:pic>
              </a:graphicData>
            </a:graphic>
          </wp:inline>
        </w:drawing>
      </w:r>
    </w:p>
    <w:bookmarkEnd w:id="2"/>
    <w:p w14:paraId="10F9521D" w14:textId="77777777" w:rsidR="004D0083" w:rsidRPr="004D0083" w:rsidRDefault="004D0083" w:rsidP="004D0083">
      <w:pPr>
        <w:pStyle w:val="PargrafodaLista"/>
        <w:spacing w:after="0" w:line="360" w:lineRule="auto"/>
        <w:ind w:left="0"/>
        <w:jc w:val="center"/>
        <w:rPr>
          <w:rFonts w:ascii="Times New Roman" w:hAnsi="Times New Roman"/>
          <w:bCs/>
          <w:smallCaps/>
          <w:sz w:val="24"/>
          <w:szCs w:val="24"/>
        </w:rPr>
      </w:pPr>
      <w:r w:rsidRPr="004D0083">
        <w:rPr>
          <w:rFonts w:ascii="Times New Roman" w:hAnsi="Times New Roman"/>
          <w:bCs/>
          <w:smallCaps/>
          <w:sz w:val="24"/>
          <w:szCs w:val="24"/>
        </w:rPr>
        <w:t>Fonte: o Autor (2019).</w:t>
      </w:r>
    </w:p>
    <w:p w14:paraId="47CFDACE" w14:textId="77777777" w:rsidR="00521DBD" w:rsidRDefault="00F42628" w:rsidP="00635BED">
      <w:pPr>
        <w:spacing w:line="360" w:lineRule="auto"/>
        <w:ind w:firstLine="709"/>
        <w:contextualSpacing/>
        <w:jc w:val="both"/>
        <w:rPr>
          <w:rFonts w:ascii="Times New Roman" w:eastAsia="Times New Roman" w:hAnsi="Times New Roman"/>
          <w:sz w:val="24"/>
          <w:szCs w:val="24"/>
        </w:rPr>
      </w:pPr>
      <w:r w:rsidRPr="004D0083">
        <w:rPr>
          <w:rFonts w:ascii="Times New Roman" w:eastAsia="Times New Roman" w:hAnsi="Times New Roman"/>
          <w:sz w:val="24"/>
          <w:szCs w:val="24"/>
        </w:rPr>
        <w:lastRenderedPageBreak/>
        <w:t xml:space="preserve">A tensão utilizada no início do processo foi de </w:t>
      </w:r>
      <w:r w:rsidR="00FE3704" w:rsidRPr="004D0083">
        <w:rPr>
          <w:rFonts w:ascii="Times New Roman" w:eastAsia="Times New Roman" w:hAnsi="Times New Roman"/>
          <w:sz w:val="24"/>
          <w:szCs w:val="24"/>
        </w:rPr>
        <w:t>28 V, com uma corrente de 2 A</w:t>
      </w:r>
      <w:r w:rsidRPr="004D0083">
        <w:rPr>
          <w:rFonts w:ascii="Times New Roman" w:eastAsia="Times New Roman" w:hAnsi="Times New Roman"/>
          <w:sz w:val="24"/>
          <w:szCs w:val="24"/>
        </w:rPr>
        <w:t xml:space="preserve"> e ambas as variáveis foram</w:t>
      </w:r>
      <w:r w:rsidR="00FE3704" w:rsidRPr="004D0083">
        <w:rPr>
          <w:rFonts w:ascii="Times New Roman" w:eastAsia="Times New Roman" w:hAnsi="Times New Roman"/>
          <w:sz w:val="24"/>
          <w:szCs w:val="24"/>
        </w:rPr>
        <w:t xml:space="preserve"> alternadas durante a reação, chegando até 34 V e 2,5 A,</w:t>
      </w:r>
      <w:r w:rsidRPr="004D0083">
        <w:rPr>
          <w:rFonts w:ascii="Times New Roman" w:eastAsia="Times New Roman" w:hAnsi="Times New Roman"/>
          <w:sz w:val="24"/>
          <w:szCs w:val="24"/>
        </w:rPr>
        <w:t xml:space="preserve"> respectivamente</w:t>
      </w:r>
      <w:r>
        <w:rPr>
          <w:rFonts w:ascii="Times New Roman" w:eastAsia="Times New Roman" w:hAnsi="Times New Roman"/>
          <w:sz w:val="24"/>
          <w:szCs w:val="24"/>
        </w:rPr>
        <w:t>. O</w:t>
      </w:r>
      <w:r w:rsidR="00FE3704">
        <w:rPr>
          <w:rFonts w:ascii="Times New Roman" w:eastAsia="Times New Roman" w:hAnsi="Times New Roman"/>
          <w:sz w:val="24"/>
          <w:szCs w:val="24"/>
        </w:rPr>
        <w:t xml:space="preserve"> tempo das reações variou de 60 a 90 min.</w:t>
      </w:r>
    </w:p>
    <w:p w14:paraId="0C09FA7D" w14:textId="715009CF" w:rsidR="00FE3704" w:rsidRPr="00BA75E0" w:rsidRDefault="00FE3704" w:rsidP="00635BED">
      <w:pPr>
        <w:spacing w:line="360" w:lineRule="auto"/>
        <w:ind w:firstLine="709"/>
        <w:contextualSpacing/>
        <w:jc w:val="both"/>
        <w:rPr>
          <w:rFonts w:ascii="Times New Roman" w:hAnsi="Times New Roman"/>
          <w:sz w:val="24"/>
          <w:szCs w:val="24"/>
        </w:rPr>
      </w:pPr>
      <w:r>
        <w:rPr>
          <w:rFonts w:ascii="Times New Roman" w:hAnsi="Times New Roman"/>
          <w:sz w:val="24"/>
          <w:szCs w:val="24"/>
        </w:rPr>
        <w:t>As análise</w:t>
      </w:r>
      <w:r w:rsidR="008B454A">
        <w:rPr>
          <w:rFonts w:ascii="Times New Roman" w:hAnsi="Times New Roman"/>
          <w:sz w:val="24"/>
          <w:szCs w:val="24"/>
        </w:rPr>
        <w:t>s</w:t>
      </w:r>
      <w:r>
        <w:rPr>
          <w:rFonts w:ascii="Times New Roman" w:hAnsi="Times New Roman"/>
          <w:sz w:val="24"/>
          <w:szCs w:val="24"/>
        </w:rPr>
        <w:t xml:space="preserve"> do efluente seguiram as normas vigentes e foi analisado por Demanda Química de Oxigênio (DQO) </w:t>
      </w:r>
      <w:r w:rsidR="00106D5C" w:rsidRPr="00106D5C">
        <w:rPr>
          <w:rFonts w:ascii="Times New Roman" w:hAnsi="Times New Roman"/>
          <w:sz w:val="24"/>
          <w:szCs w:val="24"/>
        </w:rPr>
        <w:t>(SM 5220</w:t>
      </w:r>
      <w:r w:rsidR="00106D5C">
        <w:rPr>
          <w:rFonts w:ascii="Times New Roman" w:hAnsi="Times New Roman"/>
          <w:sz w:val="24"/>
          <w:szCs w:val="24"/>
        </w:rPr>
        <w:t xml:space="preserve"> D</w:t>
      </w:r>
      <w:r w:rsidR="00106D5C" w:rsidRPr="00106D5C">
        <w:rPr>
          <w:rFonts w:ascii="Times New Roman" w:hAnsi="Times New Roman"/>
          <w:sz w:val="24"/>
          <w:szCs w:val="24"/>
        </w:rPr>
        <w:t>, 2017)</w:t>
      </w:r>
      <w:r>
        <w:rPr>
          <w:rFonts w:ascii="Times New Roman" w:hAnsi="Times New Roman"/>
          <w:sz w:val="24"/>
          <w:szCs w:val="24"/>
        </w:rPr>
        <w:t>,</w:t>
      </w:r>
      <w:r w:rsidR="008B454A" w:rsidRPr="008B454A">
        <w:rPr>
          <w:rFonts w:ascii="Times New Roman" w:hAnsi="Times New Roman"/>
          <w:sz w:val="24"/>
          <w:szCs w:val="24"/>
        </w:rPr>
        <w:t xml:space="preserve"> </w:t>
      </w:r>
      <w:r w:rsidR="008B454A">
        <w:rPr>
          <w:rFonts w:ascii="Times New Roman" w:hAnsi="Times New Roman"/>
          <w:sz w:val="24"/>
          <w:szCs w:val="24"/>
        </w:rPr>
        <w:t xml:space="preserve">dureza da água </w:t>
      </w:r>
      <w:r w:rsidR="00106D5C" w:rsidRPr="00BA75E0">
        <w:rPr>
          <w:rFonts w:ascii="Times New Roman" w:hAnsi="Times New Roman"/>
          <w:sz w:val="24"/>
          <w:szCs w:val="24"/>
        </w:rPr>
        <w:t>(SM 2340 D, 2</w:t>
      </w:r>
      <w:r w:rsidR="00BA75E0">
        <w:rPr>
          <w:rFonts w:ascii="Times New Roman" w:hAnsi="Times New Roman"/>
          <w:sz w:val="24"/>
          <w:szCs w:val="24"/>
        </w:rPr>
        <w:t>017</w:t>
      </w:r>
      <w:r w:rsidR="00106D5C" w:rsidRPr="00BA75E0">
        <w:rPr>
          <w:rFonts w:ascii="Times New Roman" w:hAnsi="Times New Roman"/>
          <w:sz w:val="24"/>
          <w:szCs w:val="24"/>
        </w:rPr>
        <w:t>)</w:t>
      </w:r>
      <w:r w:rsidR="008B454A" w:rsidRPr="00BA75E0">
        <w:rPr>
          <w:rFonts w:ascii="Times New Roman" w:hAnsi="Times New Roman"/>
          <w:sz w:val="24"/>
          <w:szCs w:val="24"/>
        </w:rPr>
        <w:t>,</w:t>
      </w:r>
      <w:r w:rsidRPr="00BA75E0">
        <w:rPr>
          <w:rFonts w:ascii="Times New Roman" w:hAnsi="Times New Roman"/>
          <w:sz w:val="24"/>
          <w:szCs w:val="24"/>
        </w:rPr>
        <w:t xml:space="preserve"> </w:t>
      </w:r>
      <w:r>
        <w:rPr>
          <w:rFonts w:ascii="Times New Roman" w:hAnsi="Times New Roman"/>
          <w:sz w:val="24"/>
          <w:szCs w:val="24"/>
        </w:rPr>
        <w:t xml:space="preserve">sólidos totais </w:t>
      </w:r>
      <w:r w:rsidR="00BA75E0">
        <w:rPr>
          <w:rFonts w:ascii="Times New Roman" w:hAnsi="Times New Roman"/>
          <w:sz w:val="24"/>
          <w:szCs w:val="24"/>
        </w:rPr>
        <w:t>(</w:t>
      </w:r>
      <w:r w:rsidR="00BA75E0" w:rsidRPr="00BA75E0">
        <w:rPr>
          <w:rFonts w:ascii="Times New Roman" w:hAnsi="Times New Roman"/>
          <w:sz w:val="24"/>
          <w:szCs w:val="24"/>
        </w:rPr>
        <w:t>SM 2540 B</w:t>
      </w:r>
      <w:r w:rsidR="00BA75E0">
        <w:rPr>
          <w:rFonts w:ascii="Times New Roman" w:hAnsi="Times New Roman"/>
          <w:sz w:val="24"/>
          <w:szCs w:val="24"/>
        </w:rPr>
        <w:t xml:space="preserve">, 2017) </w:t>
      </w:r>
      <w:r>
        <w:rPr>
          <w:rFonts w:ascii="Times New Roman" w:hAnsi="Times New Roman"/>
          <w:sz w:val="24"/>
          <w:szCs w:val="24"/>
        </w:rPr>
        <w:t xml:space="preserve"> e </w:t>
      </w:r>
      <w:r w:rsidR="008B454A" w:rsidRPr="00BA75E0">
        <w:rPr>
          <w:rFonts w:ascii="Times New Roman" w:hAnsi="Times New Roman"/>
          <w:sz w:val="24"/>
          <w:szCs w:val="24"/>
        </w:rPr>
        <w:t xml:space="preserve">Turbidez </w:t>
      </w:r>
      <w:r w:rsidR="00BA75E0" w:rsidRPr="00BA75E0">
        <w:rPr>
          <w:rFonts w:ascii="Times New Roman" w:hAnsi="Times New Roman"/>
          <w:sz w:val="24"/>
          <w:szCs w:val="24"/>
        </w:rPr>
        <w:t>(</w:t>
      </w:r>
      <w:r w:rsidR="00BA75E0" w:rsidRPr="00BA75E0">
        <w:rPr>
          <w:rFonts w:ascii="Times New Roman" w:hAnsi="Times New Roman"/>
          <w:sz w:val="24"/>
          <w:szCs w:val="24"/>
        </w:rPr>
        <w:t>SM 2130 B</w:t>
      </w:r>
      <w:r w:rsidR="00BA75E0" w:rsidRPr="00BA75E0">
        <w:rPr>
          <w:rFonts w:ascii="Times New Roman" w:hAnsi="Times New Roman"/>
          <w:sz w:val="24"/>
          <w:szCs w:val="24"/>
        </w:rPr>
        <w:t>, 1995)</w:t>
      </w:r>
      <w:r w:rsidRPr="00BA75E0">
        <w:rPr>
          <w:rFonts w:ascii="Times New Roman" w:hAnsi="Times New Roman"/>
          <w:sz w:val="24"/>
          <w:szCs w:val="24"/>
        </w:rPr>
        <w:t>.</w:t>
      </w:r>
    </w:p>
    <w:p w14:paraId="75DB453B" w14:textId="77777777" w:rsidR="00AB3E07" w:rsidRDefault="004303A9" w:rsidP="00FD7920">
      <w:pPr>
        <w:pStyle w:val="PargrafodaLista"/>
        <w:numPr>
          <w:ilvl w:val="0"/>
          <w:numId w:val="2"/>
        </w:numPr>
        <w:spacing w:after="0" w:line="360" w:lineRule="auto"/>
        <w:jc w:val="both"/>
        <w:rPr>
          <w:rFonts w:ascii="Times New Roman" w:hAnsi="Times New Roman"/>
          <w:b/>
          <w:smallCaps/>
          <w:sz w:val="24"/>
          <w:szCs w:val="24"/>
        </w:rPr>
      </w:pPr>
      <w:r w:rsidRPr="004303A9">
        <w:rPr>
          <w:rFonts w:ascii="Times New Roman" w:hAnsi="Times New Roman"/>
          <w:b/>
          <w:smallCaps/>
          <w:sz w:val="24"/>
          <w:szCs w:val="24"/>
        </w:rPr>
        <w:t xml:space="preserve">Resultados </w:t>
      </w:r>
      <w:r>
        <w:rPr>
          <w:rFonts w:ascii="Times New Roman" w:hAnsi="Times New Roman"/>
          <w:b/>
          <w:smallCaps/>
          <w:sz w:val="24"/>
          <w:szCs w:val="24"/>
        </w:rPr>
        <w:t>e</w:t>
      </w:r>
      <w:r w:rsidRPr="004303A9">
        <w:rPr>
          <w:rFonts w:ascii="Times New Roman" w:hAnsi="Times New Roman"/>
          <w:b/>
          <w:smallCaps/>
          <w:sz w:val="24"/>
          <w:szCs w:val="24"/>
        </w:rPr>
        <w:t xml:space="preserve"> Discussões</w:t>
      </w:r>
    </w:p>
    <w:p w14:paraId="77FBCEA2" w14:textId="77777777" w:rsidR="00E95B48" w:rsidRDefault="00D938A0" w:rsidP="00E95B48">
      <w:pPr>
        <w:spacing w:before="240" w:after="24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Todos os </w:t>
      </w:r>
      <w:r w:rsidRPr="004D0083">
        <w:rPr>
          <w:rFonts w:ascii="Times New Roman" w:eastAsia="Times New Roman" w:hAnsi="Times New Roman"/>
          <w:sz w:val="24"/>
          <w:szCs w:val="24"/>
        </w:rPr>
        <w:t>parâmetros analisados</w:t>
      </w:r>
      <w:r>
        <w:rPr>
          <w:rFonts w:ascii="Times New Roman" w:eastAsia="Times New Roman" w:hAnsi="Times New Roman"/>
          <w:sz w:val="24"/>
          <w:szCs w:val="24"/>
        </w:rPr>
        <w:t xml:space="preserve"> foram comparados com os padrões de descarte permitidos pela CONAMA e pelo Ministério da Saúde. </w:t>
      </w:r>
      <w:r w:rsidR="00E95B48">
        <w:rPr>
          <w:rFonts w:ascii="Times New Roman" w:eastAsia="Times New Roman" w:hAnsi="Times New Roman"/>
          <w:sz w:val="24"/>
          <w:szCs w:val="24"/>
        </w:rPr>
        <w:t>A tabela 4 apresenta os resultados obtidos nos testes de turbidez, dureza, DQO e sólidos totais com suas respectivas normas.</w:t>
      </w:r>
    </w:p>
    <w:p w14:paraId="123313C4" w14:textId="77777777" w:rsidR="004D0083" w:rsidRDefault="004D0083" w:rsidP="00E95B48">
      <w:pPr>
        <w:spacing w:before="240" w:after="240" w:line="360" w:lineRule="auto"/>
        <w:ind w:firstLine="567"/>
        <w:contextualSpacing/>
        <w:jc w:val="both"/>
        <w:rPr>
          <w:rFonts w:ascii="Times New Roman" w:eastAsia="Times New Roman" w:hAnsi="Times New Roman"/>
          <w:sz w:val="24"/>
          <w:szCs w:val="24"/>
        </w:rPr>
      </w:pPr>
    </w:p>
    <w:p w14:paraId="4C8A03DE" w14:textId="77777777" w:rsidR="00E95B48" w:rsidRDefault="00E95B48" w:rsidP="004D0083">
      <w:pPr>
        <w:spacing w:before="240" w:after="240" w:line="360" w:lineRule="auto"/>
        <w:ind w:firstLine="567"/>
        <w:jc w:val="center"/>
        <w:rPr>
          <w:rFonts w:ascii="Times New Roman" w:eastAsia="Times New Roman" w:hAnsi="Times New Roman"/>
          <w:sz w:val="24"/>
          <w:szCs w:val="24"/>
        </w:rPr>
      </w:pPr>
      <w:bookmarkStart w:id="3" w:name="_Hlk529548076"/>
      <w:r w:rsidRPr="004D0083">
        <w:rPr>
          <w:rFonts w:ascii="Times New Roman" w:eastAsia="Times New Roman" w:hAnsi="Times New Roman"/>
          <w:sz w:val="24"/>
          <w:szCs w:val="24"/>
        </w:rPr>
        <w:t xml:space="preserve">Tabela </w:t>
      </w:r>
      <w:r w:rsidR="004D0083">
        <w:rPr>
          <w:rFonts w:ascii="Times New Roman" w:eastAsia="Times New Roman" w:hAnsi="Times New Roman"/>
          <w:sz w:val="24"/>
          <w:szCs w:val="24"/>
        </w:rPr>
        <w:t>1</w:t>
      </w:r>
      <w:r w:rsidRPr="004D0083">
        <w:rPr>
          <w:rFonts w:ascii="Times New Roman" w:eastAsia="Times New Roman" w:hAnsi="Times New Roman"/>
          <w:sz w:val="24"/>
          <w:szCs w:val="24"/>
        </w:rPr>
        <w:t>: Comparativo dos resultados obtidos nos testes de turbidez, dureza, DQO e sólidos totais com suas respectivas normas.</w:t>
      </w:r>
      <w:bookmarkEnd w:id="3"/>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510"/>
        <w:gridCol w:w="1510"/>
        <w:gridCol w:w="1710"/>
        <w:gridCol w:w="1415"/>
        <w:gridCol w:w="1467"/>
      </w:tblGrid>
      <w:tr w:rsidR="004D0083" w:rsidRPr="008E699D" w14:paraId="4AA24F39" w14:textId="77777777" w:rsidTr="008E699D">
        <w:trPr>
          <w:jc w:val="center"/>
        </w:trPr>
        <w:tc>
          <w:tcPr>
            <w:tcW w:w="1495" w:type="dxa"/>
            <w:tcBorders>
              <w:top w:val="single" w:sz="12" w:space="0" w:color="2F5496" w:themeColor="accent5" w:themeShade="BF"/>
              <w:bottom w:val="single" w:sz="12" w:space="0" w:color="2F5496" w:themeColor="accent5" w:themeShade="BF"/>
            </w:tcBorders>
          </w:tcPr>
          <w:p w14:paraId="65C3484B" w14:textId="77777777" w:rsidR="004D0083" w:rsidRPr="008E699D" w:rsidRDefault="004D0083" w:rsidP="004D0083">
            <w:pPr>
              <w:spacing w:after="0" w:line="240" w:lineRule="auto"/>
              <w:jc w:val="center"/>
              <w:rPr>
                <w:b/>
                <w:bCs/>
                <w:sz w:val="24"/>
                <w:szCs w:val="24"/>
              </w:rPr>
            </w:pPr>
            <w:r w:rsidRPr="008E699D">
              <w:rPr>
                <w:b/>
                <w:bCs/>
                <w:sz w:val="24"/>
                <w:szCs w:val="24"/>
              </w:rPr>
              <w:t>ENSAIO</w:t>
            </w:r>
          </w:p>
        </w:tc>
        <w:tc>
          <w:tcPr>
            <w:tcW w:w="1498" w:type="dxa"/>
            <w:tcBorders>
              <w:top w:val="single" w:sz="12" w:space="0" w:color="2F5496" w:themeColor="accent5" w:themeShade="BF"/>
              <w:bottom w:val="single" w:sz="12" w:space="0" w:color="2F5496" w:themeColor="accent5" w:themeShade="BF"/>
            </w:tcBorders>
          </w:tcPr>
          <w:p w14:paraId="0FB94DA0" w14:textId="77777777" w:rsidR="004D0083" w:rsidRPr="008E699D" w:rsidRDefault="004D0083" w:rsidP="004D0083">
            <w:pPr>
              <w:spacing w:after="0" w:line="240" w:lineRule="auto"/>
              <w:jc w:val="center"/>
              <w:rPr>
                <w:b/>
                <w:bCs/>
                <w:sz w:val="24"/>
                <w:szCs w:val="24"/>
              </w:rPr>
            </w:pPr>
            <w:r w:rsidRPr="008E699D">
              <w:rPr>
                <w:b/>
                <w:bCs/>
                <w:sz w:val="24"/>
                <w:szCs w:val="24"/>
              </w:rPr>
              <w:t>EFLUENTE BRUTO</w:t>
            </w:r>
          </w:p>
        </w:tc>
        <w:tc>
          <w:tcPr>
            <w:tcW w:w="1498" w:type="dxa"/>
            <w:tcBorders>
              <w:top w:val="single" w:sz="12" w:space="0" w:color="2F5496" w:themeColor="accent5" w:themeShade="BF"/>
              <w:bottom w:val="single" w:sz="12" w:space="0" w:color="2F5496" w:themeColor="accent5" w:themeShade="BF"/>
            </w:tcBorders>
          </w:tcPr>
          <w:p w14:paraId="52E3A793" w14:textId="77777777" w:rsidR="004D0083" w:rsidRPr="008E699D" w:rsidRDefault="004D0083" w:rsidP="004D0083">
            <w:pPr>
              <w:spacing w:after="0" w:line="240" w:lineRule="auto"/>
              <w:jc w:val="center"/>
              <w:rPr>
                <w:b/>
                <w:bCs/>
                <w:sz w:val="24"/>
                <w:szCs w:val="24"/>
              </w:rPr>
            </w:pPr>
            <w:r w:rsidRPr="008E699D">
              <w:rPr>
                <w:b/>
                <w:bCs/>
                <w:sz w:val="24"/>
                <w:szCs w:val="24"/>
              </w:rPr>
              <w:t xml:space="preserve">EFLUENTE TRATADO </w:t>
            </w:r>
          </w:p>
        </w:tc>
        <w:tc>
          <w:tcPr>
            <w:tcW w:w="1603" w:type="dxa"/>
            <w:tcBorders>
              <w:top w:val="single" w:sz="12" w:space="0" w:color="2F5496" w:themeColor="accent5" w:themeShade="BF"/>
              <w:bottom w:val="single" w:sz="12" w:space="0" w:color="2F5496" w:themeColor="accent5" w:themeShade="BF"/>
            </w:tcBorders>
          </w:tcPr>
          <w:p w14:paraId="02A091F1" w14:textId="77777777" w:rsidR="004D0083" w:rsidRPr="008E699D" w:rsidRDefault="004D0083" w:rsidP="004D0083">
            <w:pPr>
              <w:spacing w:after="0" w:line="240" w:lineRule="auto"/>
              <w:jc w:val="center"/>
              <w:rPr>
                <w:b/>
                <w:bCs/>
                <w:sz w:val="24"/>
                <w:szCs w:val="24"/>
              </w:rPr>
            </w:pPr>
            <w:r w:rsidRPr="008E699D">
              <w:rPr>
                <w:b/>
                <w:bCs/>
                <w:sz w:val="24"/>
                <w:szCs w:val="24"/>
              </w:rPr>
              <w:t>MINISTERIO DA SAÚDE</w:t>
            </w:r>
          </w:p>
        </w:tc>
        <w:tc>
          <w:tcPr>
            <w:tcW w:w="1476" w:type="dxa"/>
            <w:tcBorders>
              <w:top w:val="single" w:sz="12" w:space="0" w:color="2F5496" w:themeColor="accent5" w:themeShade="BF"/>
              <w:bottom w:val="single" w:sz="12" w:space="0" w:color="2F5496" w:themeColor="accent5" w:themeShade="BF"/>
            </w:tcBorders>
          </w:tcPr>
          <w:p w14:paraId="650B6E5D" w14:textId="77777777" w:rsidR="004D0083" w:rsidRPr="008E699D" w:rsidRDefault="004D0083" w:rsidP="004D0083">
            <w:pPr>
              <w:spacing w:after="0" w:line="240" w:lineRule="auto"/>
              <w:jc w:val="center"/>
              <w:rPr>
                <w:b/>
                <w:bCs/>
                <w:sz w:val="24"/>
                <w:szCs w:val="24"/>
              </w:rPr>
            </w:pPr>
            <w:r w:rsidRPr="008E699D">
              <w:rPr>
                <w:b/>
                <w:bCs/>
                <w:sz w:val="24"/>
                <w:szCs w:val="24"/>
              </w:rPr>
              <w:t>CONAMA</w:t>
            </w:r>
          </w:p>
        </w:tc>
        <w:tc>
          <w:tcPr>
            <w:tcW w:w="1491" w:type="dxa"/>
            <w:tcBorders>
              <w:top w:val="single" w:sz="12" w:space="0" w:color="2F5496" w:themeColor="accent5" w:themeShade="BF"/>
              <w:bottom w:val="single" w:sz="12" w:space="0" w:color="2F5496" w:themeColor="accent5" w:themeShade="BF"/>
            </w:tcBorders>
          </w:tcPr>
          <w:p w14:paraId="0295DF40" w14:textId="77777777" w:rsidR="004D0083" w:rsidRPr="008E699D" w:rsidRDefault="004D0083" w:rsidP="004D0083">
            <w:pPr>
              <w:spacing w:after="0" w:line="240" w:lineRule="auto"/>
              <w:jc w:val="center"/>
              <w:rPr>
                <w:b/>
                <w:bCs/>
                <w:sz w:val="24"/>
                <w:szCs w:val="24"/>
              </w:rPr>
            </w:pPr>
            <w:r w:rsidRPr="008E699D">
              <w:rPr>
                <w:b/>
                <w:bCs/>
                <w:sz w:val="24"/>
                <w:szCs w:val="24"/>
              </w:rPr>
              <w:t>REDUÇÃO (%)</w:t>
            </w:r>
          </w:p>
        </w:tc>
      </w:tr>
      <w:tr w:rsidR="004D0083" w14:paraId="6965029B" w14:textId="77777777" w:rsidTr="008E699D">
        <w:trPr>
          <w:jc w:val="center"/>
        </w:trPr>
        <w:tc>
          <w:tcPr>
            <w:tcW w:w="1495" w:type="dxa"/>
            <w:tcBorders>
              <w:top w:val="single" w:sz="12" w:space="0" w:color="2F5496" w:themeColor="accent5" w:themeShade="BF"/>
            </w:tcBorders>
            <w:shd w:val="clear" w:color="auto" w:fill="DEEAF6" w:themeFill="accent1" w:themeFillTint="33"/>
          </w:tcPr>
          <w:p w14:paraId="4FC627A8" w14:textId="77777777" w:rsidR="004D0083" w:rsidRDefault="004D0083" w:rsidP="004D0083">
            <w:pPr>
              <w:spacing w:after="0" w:line="240" w:lineRule="auto"/>
              <w:jc w:val="center"/>
              <w:rPr>
                <w:sz w:val="24"/>
                <w:szCs w:val="24"/>
              </w:rPr>
            </w:pPr>
            <w:r>
              <w:rPr>
                <w:sz w:val="24"/>
                <w:szCs w:val="24"/>
              </w:rPr>
              <w:t>TURBIDEZ (NTU)</w:t>
            </w:r>
          </w:p>
        </w:tc>
        <w:tc>
          <w:tcPr>
            <w:tcW w:w="1498" w:type="dxa"/>
            <w:tcBorders>
              <w:top w:val="single" w:sz="12" w:space="0" w:color="2F5496" w:themeColor="accent5" w:themeShade="BF"/>
            </w:tcBorders>
            <w:shd w:val="clear" w:color="auto" w:fill="DEEAF6" w:themeFill="accent1" w:themeFillTint="33"/>
            <w:vAlign w:val="center"/>
          </w:tcPr>
          <w:p w14:paraId="7FEC42BA" w14:textId="77777777" w:rsidR="004D0083" w:rsidRDefault="008E699D" w:rsidP="008E699D">
            <w:pPr>
              <w:spacing w:after="0" w:line="240" w:lineRule="auto"/>
              <w:jc w:val="center"/>
              <w:rPr>
                <w:sz w:val="24"/>
                <w:szCs w:val="24"/>
              </w:rPr>
            </w:pPr>
            <w:r>
              <w:rPr>
                <w:sz w:val="24"/>
                <w:szCs w:val="24"/>
              </w:rPr>
              <w:t>476,00</w:t>
            </w:r>
          </w:p>
        </w:tc>
        <w:tc>
          <w:tcPr>
            <w:tcW w:w="1498" w:type="dxa"/>
            <w:tcBorders>
              <w:top w:val="single" w:sz="12" w:space="0" w:color="2F5496" w:themeColor="accent5" w:themeShade="BF"/>
            </w:tcBorders>
            <w:shd w:val="clear" w:color="auto" w:fill="DEEAF6" w:themeFill="accent1" w:themeFillTint="33"/>
            <w:vAlign w:val="center"/>
          </w:tcPr>
          <w:p w14:paraId="25C8CC96" w14:textId="77777777" w:rsidR="004D0083" w:rsidRDefault="008E699D" w:rsidP="008E699D">
            <w:pPr>
              <w:spacing w:after="0" w:line="240" w:lineRule="auto"/>
              <w:jc w:val="center"/>
              <w:rPr>
                <w:sz w:val="24"/>
                <w:szCs w:val="24"/>
              </w:rPr>
            </w:pPr>
            <w:r>
              <w:rPr>
                <w:sz w:val="24"/>
                <w:szCs w:val="24"/>
              </w:rPr>
              <w:t>4,66</w:t>
            </w:r>
          </w:p>
        </w:tc>
        <w:tc>
          <w:tcPr>
            <w:tcW w:w="1603" w:type="dxa"/>
            <w:tcBorders>
              <w:top w:val="single" w:sz="12" w:space="0" w:color="2F5496" w:themeColor="accent5" w:themeShade="BF"/>
            </w:tcBorders>
            <w:shd w:val="clear" w:color="auto" w:fill="DEEAF6" w:themeFill="accent1" w:themeFillTint="33"/>
            <w:vAlign w:val="center"/>
          </w:tcPr>
          <w:p w14:paraId="235D6971" w14:textId="77777777" w:rsidR="004D0083" w:rsidRDefault="008E699D" w:rsidP="008E699D">
            <w:pPr>
              <w:spacing w:after="0" w:line="240" w:lineRule="auto"/>
              <w:jc w:val="center"/>
              <w:rPr>
                <w:sz w:val="24"/>
                <w:szCs w:val="24"/>
              </w:rPr>
            </w:pPr>
            <w:r>
              <w:rPr>
                <w:sz w:val="24"/>
                <w:szCs w:val="24"/>
              </w:rPr>
              <w:t>4</w:t>
            </w:r>
          </w:p>
        </w:tc>
        <w:tc>
          <w:tcPr>
            <w:tcW w:w="1476" w:type="dxa"/>
            <w:tcBorders>
              <w:top w:val="single" w:sz="12" w:space="0" w:color="2F5496" w:themeColor="accent5" w:themeShade="BF"/>
            </w:tcBorders>
            <w:shd w:val="clear" w:color="auto" w:fill="DEEAF6" w:themeFill="accent1" w:themeFillTint="33"/>
            <w:vAlign w:val="center"/>
          </w:tcPr>
          <w:p w14:paraId="51A2CA73" w14:textId="77777777" w:rsidR="004D0083" w:rsidRDefault="008E699D" w:rsidP="008E699D">
            <w:pPr>
              <w:spacing w:after="0" w:line="240" w:lineRule="auto"/>
              <w:jc w:val="center"/>
              <w:rPr>
                <w:sz w:val="24"/>
                <w:szCs w:val="24"/>
              </w:rPr>
            </w:pPr>
            <w:r>
              <w:rPr>
                <w:sz w:val="24"/>
                <w:szCs w:val="24"/>
              </w:rPr>
              <w:t>40</w:t>
            </w:r>
          </w:p>
        </w:tc>
        <w:tc>
          <w:tcPr>
            <w:tcW w:w="1491" w:type="dxa"/>
            <w:tcBorders>
              <w:top w:val="single" w:sz="12" w:space="0" w:color="2F5496" w:themeColor="accent5" w:themeShade="BF"/>
            </w:tcBorders>
            <w:shd w:val="clear" w:color="auto" w:fill="DEEAF6" w:themeFill="accent1" w:themeFillTint="33"/>
            <w:vAlign w:val="center"/>
          </w:tcPr>
          <w:p w14:paraId="6D3D72AB" w14:textId="77777777" w:rsidR="004D0083" w:rsidRDefault="008E699D" w:rsidP="008E699D">
            <w:pPr>
              <w:spacing w:after="0" w:line="240" w:lineRule="auto"/>
              <w:jc w:val="center"/>
              <w:rPr>
                <w:sz w:val="24"/>
                <w:szCs w:val="24"/>
              </w:rPr>
            </w:pPr>
            <w:r>
              <w:rPr>
                <w:sz w:val="24"/>
                <w:szCs w:val="24"/>
              </w:rPr>
              <w:t>99,02</w:t>
            </w:r>
          </w:p>
        </w:tc>
      </w:tr>
      <w:tr w:rsidR="004D0083" w14:paraId="6E9B1022" w14:textId="77777777" w:rsidTr="008E699D">
        <w:trPr>
          <w:jc w:val="center"/>
        </w:trPr>
        <w:tc>
          <w:tcPr>
            <w:tcW w:w="1495" w:type="dxa"/>
          </w:tcPr>
          <w:p w14:paraId="6321D125" w14:textId="77777777" w:rsidR="004D0083" w:rsidRDefault="008E699D" w:rsidP="004D0083">
            <w:pPr>
              <w:spacing w:after="0" w:line="240" w:lineRule="auto"/>
              <w:jc w:val="center"/>
              <w:rPr>
                <w:sz w:val="24"/>
                <w:szCs w:val="24"/>
              </w:rPr>
            </w:pPr>
            <w:r>
              <w:rPr>
                <w:sz w:val="24"/>
                <w:szCs w:val="24"/>
              </w:rPr>
              <w:t>DUREZA (mg)</w:t>
            </w:r>
          </w:p>
        </w:tc>
        <w:tc>
          <w:tcPr>
            <w:tcW w:w="1498" w:type="dxa"/>
            <w:vAlign w:val="center"/>
          </w:tcPr>
          <w:p w14:paraId="2361544E" w14:textId="77777777" w:rsidR="004D0083" w:rsidRDefault="008E699D" w:rsidP="008E699D">
            <w:pPr>
              <w:spacing w:after="0" w:line="240" w:lineRule="auto"/>
              <w:jc w:val="center"/>
              <w:rPr>
                <w:sz w:val="24"/>
                <w:szCs w:val="24"/>
              </w:rPr>
            </w:pPr>
            <w:r>
              <w:rPr>
                <w:sz w:val="24"/>
                <w:szCs w:val="24"/>
              </w:rPr>
              <w:t>280,00</w:t>
            </w:r>
          </w:p>
        </w:tc>
        <w:tc>
          <w:tcPr>
            <w:tcW w:w="1498" w:type="dxa"/>
            <w:vAlign w:val="center"/>
          </w:tcPr>
          <w:p w14:paraId="67EC0256" w14:textId="77777777" w:rsidR="004D0083" w:rsidRDefault="008E699D" w:rsidP="008E699D">
            <w:pPr>
              <w:spacing w:after="0" w:line="240" w:lineRule="auto"/>
              <w:jc w:val="center"/>
              <w:rPr>
                <w:sz w:val="24"/>
                <w:szCs w:val="24"/>
              </w:rPr>
            </w:pPr>
            <w:r>
              <w:rPr>
                <w:sz w:val="24"/>
                <w:szCs w:val="24"/>
              </w:rPr>
              <w:t>144,20</w:t>
            </w:r>
          </w:p>
        </w:tc>
        <w:tc>
          <w:tcPr>
            <w:tcW w:w="1603" w:type="dxa"/>
            <w:vAlign w:val="center"/>
          </w:tcPr>
          <w:p w14:paraId="64227A73" w14:textId="77777777" w:rsidR="004D0083" w:rsidRDefault="008E699D" w:rsidP="008E699D">
            <w:pPr>
              <w:spacing w:after="0" w:line="240" w:lineRule="auto"/>
              <w:jc w:val="center"/>
              <w:rPr>
                <w:sz w:val="24"/>
                <w:szCs w:val="24"/>
              </w:rPr>
            </w:pPr>
            <w:r>
              <w:rPr>
                <w:sz w:val="24"/>
                <w:szCs w:val="24"/>
              </w:rPr>
              <w:t>---</w:t>
            </w:r>
          </w:p>
        </w:tc>
        <w:tc>
          <w:tcPr>
            <w:tcW w:w="1476" w:type="dxa"/>
            <w:vAlign w:val="center"/>
          </w:tcPr>
          <w:p w14:paraId="19C08C7C" w14:textId="77777777" w:rsidR="004D0083" w:rsidRDefault="008E699D" w:rsidP="008E699D">
            <w:pPr>
              <w:spacing w:after="0" w:line="240" w:lineRule="auto"/>
              <w:jc w:val="center"/>
              <w:rPr>
                <w:sz w:val="24"/>
                <w:szCs w:val="24"/>
              </w:rPr>
            </w:pPr>
            <w:r>
              <w:rPr>
                <w:sz w:val="24"/>
                <w:szCs w:val="24"/>
              </w:rPr>
              <w:t>---</w:t>
            </w:r>
          </w:p>
        </w:tc>
        <w:tc>
          <w:tcPr>
            <w:tcW w:w="1491" w:type="dxa"/>
            <w:vAlign w:val="center"/>
          </w:tcPr>
          <w:p w14:paraId="0ADA2A72" w14:textId="77777777" w:rsidR="004D0083" w:rsidRDefault="008E699D" w:rsidP="008E699D">
            <w:pPr>
              <w:spacing w:after="0" w:line="240" w:lineRule="auto"/>
              <w:jc w:val="center"/>
              <w:rPr>
                <w:sz w:val="24"/>
                <w:szCs w:val="24"/>
              </w:rPr>
            </w:pPr>
            <w:r>
              <w:rPr>
                <w:sz w:val="24"/>
                <w:szCs w:val="24"/>
              </w:rPr>
              <w:t>48,50</w:t>
            </w:r>
          </w:p>
        </w:tc>
      </w:tr>
      <w:tr w:rsidR="004D0083" w14:paraId="5D67D3D0" w14:textId="77777777" w:rsidTr="008E699D">
        <w:trPr>
          <w:jc w:val="center"/>
        </w:trPr>
        <w:tc>
          <w:tcPr>
            <w:tcW w:w="1495" w:type="dxa"/>
            <w:shd w:val="clear" w:color="auto" w:fill="DEEAF6" w:themeFill="accent1" w:themeFillTint="33"/>
          </w:tcPr>
          <w:p w14:paraId="4DC6D572" w14:textId="77777777" w:rsidR="008E699D" w:rsidRDefault="008E699D" w:rsidP="004D0083">
            <w:pPr>
              <w:spacing w:after="0" w:line="240" w:lineRule="auto"/>
              <w:jc w:val="center"/>
              <w:rPr>
                <w:sz w:val="24"/>
                <w:szCs w:val="24"/>
              </w:rPr>
            </w:pPr>
            <w:r>
              <w:rPr>
                <w:sz w:val="24"/>
                <w:szCs w:val="24"/>
              </w:rPr>
              <w:t xml:space="preserve">DQO </w:t>
            </w:r>
          </w:p>
          <w:p w14:paraId="5FF7623C" w14:textId="77777777" w:rsidR="004D0083" w:rsidRPr="008E699D" w:rsidRDefault="008E699D" w:rsidP="004D0083">
            <w:pPr>
              <w:spacing w:after="0" w:line="240" w:lineRule="auto"/>
              <w:jc w:val="center"/>
              <w:rPr>
                <w:sz w:val="24"/>
                <w:szCs w:val="24"/>
              </w:rPr>
            </w:pPr>
            <w:r>
              <w:rPr>
                <w:sz w:val="24"/>
                <w:szCs w:val="24"/>
              </w:rPr>
              <w:t>(mg.L</w:t>
            </w:r>
            <w:r>
              <w:rPr>
                <w:sz w:val="24"/>
                <w:szCs w:val="24"/>
                <w:vertAlign w:val="superscript"/>
              </w:rPr>
              <w:t>-1</w:t>
            </w:r>
            <w:r>
              <w:rPr>
                <w:sz w:val="24"/>
                <w:szCs w:val="24"/>
              </w:rPr>
              <w:t>)</w:t>
            </w:r>
          </w:p>
        </w:tc>
        <w:tc>
          <w:tcPr>
            <w:tcW w:w="1498" w:type="dxa"/>
            <w:shd w:val="clear" w:color="auto" w:fill="DEEAF6" w:themeFill="accent1" w:themeFillTint="33"/>
            <w:vAlign w:val="center"/>
          </w:tcPr>
          <w:p w14:paraId="30808040" w14:textId="77777777" w:rsidR="004D0083" w:rsidRDefault="008E699D" w:rsidP="008E699D">
            <w:pPr>
              <w:spacing w:after="0" w:line="240" w:lineRule="auto"/>
              <w:jc w:val="center"/>
              <w:rPr>
                <w:sz w:val="24"/>
                <w:szCs w:val="24"/>
              </w:rPr>
            </w:pPr>
            <w:r>
              <w:rPr>
                <w:sz w:val="24"/>
                <w:szCs w:val="24"/>
              </w:rPr>
              <w:t>1431,43</w:t>
            </w:r>
          </w:p>
        </w:tc>
        <w:tc>
          <w:tcPr>
            <w:tcW w:w="1498" w:type="dxa"/>
            <w:shd w:val="clear" w:color="auto" w:fill="DEEAF6" w:themeFill="accent1" w:themeFillTint="33"/>
            <w:vAlign w:val="center"/>
          </w:tcPr>
          <w:p w14:paraId="4CC4D2AB" w14:textId="77777777" w:rsidR="004D0083" w:rsidRDefault="008E699D" w:rsidP="008E699D">
            <w:pPr>
              <w:spacing w:after="0" w:line="240" w:lineRule="auto"/>
              <w:jc w:val="center"/>
              <w:rPr>
                <w:sz w:val="24"/>
                <w:szCs w:val="24"/>
              </w:rPr>
            </w:pPr>
            <w:r>
              <w:rPr>
                <w:sz w:val="24"/>
                <w:szCs w:val="24"/>
              </w:rPr>
              <w:t>338,57</w:t>
            </w:r>
          </w:p>
        </w:tc>
        <w:tc>
          <w:tcPr>
            <w:tcW w:w="1603" w:type="dxa"/>
            <w:shd w:val="clear" w:color="auto" w:fill="DEEAF6" w:themeFill="accent1" w:themeFillTint="33"/>
            <w:vAlign w:val="center"/>
          </w:tcPr>
          <w:p w14:paraId="35D2C589" w14:textId="77777777" w:rsidR="004D0083" w:rsidRDefault="008E699D" w:rsidP="008E699D">
            <w:pPr>
              <w:spacing w:after="0" w:line="240" w:lineRule="auto"/>
              <w:jc w:val="center"/>
              <w:rPr>
                <w:sz w:val="24"/>
                <w:szCs w:val="24"/>
              </w:rPr>
            </w:pPr>
            <w:r>
              <w:rPr>
                <w:sz w:val="24"/>
                <w:szCs w:val="24"/>
              </w:rPr>
              <w:t>---</w:t>
            </w:r>
          </w:p>
        </w:tc>
        <w:tc>
          <w:tcPr>
            <w:tcW w:w="1476" w:type="dxa"/>
            <w:shd w:val="clear" w:color="auto" w:fill="DEEAF6" w:themeFill="accent1" w:themeFillTint="33"/>
            <w:vAlign w:val="center"/>
          </w:tcPr>
          <w:p w14:paraId="71F0E352" w14:textId="77777777" w:rsidR="004D0083" w:rsidRDefault="008E699D" w:rsidP="008E699D">
            <w:pPr>
              <w:spacing w:after="0" w:line="240" w:lineRule="auto"/>
              <w:jc w:val="center"/>
              <w:rPr>
                <w:sz w:val="24"/>
                <w:szCs w:val="24"/>
              </w:rPr>
            </w:pPr>
            <w:r>
              <w:rPr>
                <w:sz w:val="24"/>
                <w:szCs w:val="24"/>
              </w:rPr>
              <w:t>---</w:t>
            </w:r>
          </w:p>
        </w:tc>
        <w:tc>
          <w:tcPr>
            <w:tcW w:w="1491" w:type="dxa"/>
            <w:shd w:val="clear" w:color="auto" w:fill="DEEAF6" w:themeFill="accent1" w:themeFillTint="33"/>
            <w:vAlign w:val="center"/>
          </w:tcPr>
          <w:p w14:paraId="414DB6BA" w14:textId="77777777" w:rsidR="004D0083" w:rsidRDefault="008E699D" w:rsidP="008E699D">
            <w:pPr>
              <w:spacing w:after="0" w:line="240" w:lineRule="auto"/>
              <w:jc w:val="center"/>
              <w:rPr>
                <w:sz w:val="24"/>
                <w:szCs w:val="24"/>
              </w:rPr>
            </w:pPr>
            <w:r>
              <w:rPr>
                <w:sz w:val="24"/>
                <w:szCs w:val="24"/>
              </w:rPr>
              <w:t>76,35</w:t>
            </w:r>
          </w:p>
        </w:tc>
      </w:tr>
      <w:tr w:rsidR="004D0083" w14:paraId="2236D971" w14:textId="77777777" w:rsidTr="008E699D">
        <w:trPr>
          <w:jc w:val="center"/>
        </w:trPr>
        <w:tc>
          <w:tcPr>
            <w:tcW w:w="1495" w:type="dxa"/>
            <w:tcBorders>
              <w:bottom w:val="single" w:sz="12" w:space="0" w:color="2F5496" w:themeColor="accent5" w:themeShade="BF"/>
            </w:tcBorders>
          </w:tcPr>
          <w:p w14:paraId="7335AF05" w14:textId="77777777" w:rsidR="004D0083" w:rsidRDefault="008E699D" w:rsidP="004D0083">
            <w:pPr>
              <w:spacing w:after="0" w:line="240" w:lineRule="auto"/>
              <w:jc w:val="center"/>
              <w:rPr>
                <w:sz w:val="24"/>
                <w:szCs w:val="24"/>
              </w:rPr>
            </w:pPr>
            <w:r>
              <w:rPr>
                <w:sz w:val="24"/>
                <w:szCs w:val="24"/>
              </w:rPr>
              <w:t>SÓLIDOS TOTAIS</w:t>
            </w:r>
          </w:p>
          <w:p w14:paraId="6D885890" w14:textId="77777777" w:rsidR="008E699D" w:rsidRDefault="008E699D" w:rsidP="004D0083">
            <w:pPr>
              <w:spacing w:after="0" w:line="240" w:lineRule="auto"/>
              <w:jc w:val="center"/>
              <w:rPr>
                <w:sz w:val="24"/>
                <w:szCs w:val="24"/>
              </w:rPr>
            </w:pPr>
            <w:r>
              <w:rPr>
                <w:sz w:val="24"/>
                <w:szCs w:val="24"/>
              </w:rPr>
              <w:t>(mg.L</w:t>
            </w:r>
            <w:r>
              <w:rPr>
                <w:sz w:val="24"/>
                <w:szCs w:val="24"/>
                <w:vertAlign w:val="superscript"/>
              </w:rPr>
              <w:t>-1</w:t>
            </w:r>
            <w:r>
              <w:rPr>
                <w:sz w:val="24"/>
                <w:szCs w:val="24"/>
              </w:rPr>
              <w:t>)</w:t>
            </w:r>
          </w:p>
        </w:tc>
        <w:tc>
          <w:tcPr>
            <w:tcW w:w="1498" w:type="dxa"/>
            <w:tcBorders>
              <w:bottom w:val="single" w:sz="12" w:space="0" w:color="2F5496" w:themeColor="accent5" w:themeShade="BF"/>
            </w:tcBorders>
            <w:vAlign w:val="center"/>
          </w:tcPr>
          <w:p w14:paraId="22BA6EFF" w14:textId="77777777" w:rsidR="004D0083" w:rsidRDefault="008E699D" w:rsidP="008E699D">
            <w:pPr>
              <w:spacing w:after="0" w:line="240" w:lineRule="auto"/>
              <w:jc w:val="center"/>
              <w:rPr>
                <w:sz w:val="24"/>
                <w:szCs w:val="24"/>
              </w:rPr>
            </w:pPr>
            <w:r>
              <w:rPr>
                <w:sz w:val="24"/>
                <w:szCs w:val="24"/>
              </w:rPr>
              <w:t>9080,00</w:t>
            </w:r>
          </w:p>
        </w:tc>
        <w:tc>
          <w:tcPr>
            <w:tcW w:w="1498" w:type="dxa"/>
            <w:tcBorders>
              <w:bottom w:val="single" w:sz="12" w:space="0" w:color="2F5496" w:themeColor="accent5" w:themeShade="BF"/>
            </w:tcBorders>
            <w:vAlign w:val="center"/>
          </w:tcPr>
          <w:p w14:paraId="6540E8A7" w14:textId="77777777" w:rsidR="004D0083" w:rsidRDefault="008E699D" w:rsidP="008E699D">
            <w:pPr>
              <w:spacing w:after="0" w:line="240" w:lineRule="auto"/>
              <w:jc w:val="center"/>
              <w:rPr>
                <w:sz w:val="24"/>
                <w:szCs w:val="24"/>
              </w:rPr>
            </w:pPr>
            <w:r>
              <w:rPr>
                <w:sz w:val="24"/>
                <w:szCs w:val="24"/>
              </w:rPr>
              <w:t>235,00</w:t>
            </w:r>
          </w:p>
        </w:tc>
        <w:tc>
          <w:tcPr>
            <w:tcW w:w="1603" w:type="dxa"/>
            <w:tcBorders>
              <w:bottom w:val="single" w:sz="12" w:space="0" w:color="2F5496" w:themeColor="accent5" w:themeShade="BF"/>
            </w:tcBorders>
            <w:vAlign w:val="center"/>
          </w:tcPr>
          <w:p w14:paraId="062A3B78" w14:textId="77777777" w:rsidR="004D0083" w:rsidRDefault="008E699D" w:rsidP="008E699D">
            <w:pPr>
              <w:spacing w:after="0" w:line="240" w:lineRule="auto"/>
              <w:jc w:val="center"/>
              <w:rPr>
                <w:sz w:val="24"/>
                <w:szCs w:val="24"/>
              </w:rPr>
            </w:pPr>
            <w:r>
              <w:rPr>
                <w:sz w:val="24"/>
                <w:szCs w:val="24"/>
              </w:rPr>
              <w:t>500</w:t>
            </w:r>
          </w:p>
        </w:tc>
        <w:tc>
          <w:tcPr>
            <w:tcW w:w="1476" w:type="dxa"/>
            <w:tcBorders>
              <w:bottom w:val="single" w:sz="12" w:space="0" w:color="2F5496" w:themeColor="accent5" w:themeShade="BF"/>
            </w:tcBorders>
            <w:vAlign w:val="center"/>
          </w:tcPr>
          <w:p w14:paraId="1D38142E" w14:textId="77777777" w:rsidR="004D0083" w:rsidRDefault="008E699D" w:rsidP="008E699D">
            <w:pPr>
              <w:spacing w:after="0" w:line="240" w:lineRule="auto"/>
              <w:jc w:val="center"/>
              <w:rPr>
                <w:sz w:val="24"/>
                <w:szCs w:val="24"/>
              </w:rPr>
            </w:pPr>
            <w:r>
              <w:rPr>
                <w:sz w:val="24"/>
                <w:szCs w:val="24"/>
              </w:rPr>
              <w:t>1000</w:t>
            </w:r>
          </w:p>
        </w:tc>
        <w:tc>
          <w:tcPr>
            <w:tcW w:w="1491" w:type="dxa"/>
            <w:tcBorders>
              <w:bottom w:val="single" w:sz="12" w:space="0" w:color="2F5496" w:themeColor="accent5" w:themeShade="BF"/>
            </w:tcBorders>
            <w:vAlign w:val="center"/>
          </w:tcPr>
          <w:p w14:paraId="0B6AFB49" w14:textId="77777777" w:rsidR="004D0083" w:rsidRDefault="008E699D" w:rsidP="008E699D">
            <w:pPr>
              <w:spacing w:after="0" w:line="240" w:lineRule="auto"/>
              <w:jc w:val="center"/>
              <w:rPr>
                <w:sz w:val="24"/>
                <w:szCs w:val="24"/>
              </w:rPr>
            </w:pPr>
            <w:r>
              <w:rPr>
                <w:sz w:val="24"/>
                <w:szCs w:val="24"/>
              </w:rPr>
              <w:t>97,41</w:t>
            </w:r>
          </w:p>
        </w:tc>
      </w:tr>
    </w:tbl>
    <w:p w14:paraId="2D408730" w14:textId="77777777" w:rsidR="004D0083" w:rsidRPr="004D0083" w:rsidRDefault="004D0083" w:rsidP="004D0083">
      <w:pPr>
        <w:pStyle w:val="PargrafodaLista"/>
        <w:spacing w:after="0" w:line="360" w:lineRule="auto"/>
        <w:ind w:left="0"/>
        <w:jc w:val="center"/>
        <w:rPr>
          <w:rFonts w:ascii="Times New Roman" w:hAnsi="Times New Roman"/>
          <w:bCs/>
          <w:smallCaps/>
          <w:sz w:val="24"/>
          <w:szCs w:val="24"/>
        </w:rPr>
      </w:pPr>
      <w:r w:rsidRPr="004D0083">
        <w:rPr>
          <w:rFonts w:ascii="Times New Roman" w:hAnsi="Times New Roman"/>
          <w:bCs/>
          <w:smallCaps/>
          <w:sz w:val="24"/>
          <w:szCs w:val="24"/>
        </w:rPr>
        <w:t>Fonte: o Autor (2019).</w:t>
      </w:r>
    </w:p>
    <w:p w14:paraId="1F8F0CB0" w14:textId="77777777" w:rsidR="00907963" w:rsidRDefault="00F42628" w:rsidP="00907963">
      <w:pPr>
        <w:spacing w:before="240" w:after="240" w:line="360" w:lineRule="auto"/>
        <w:ind w:firstLine="567"/>
        <w:contextualSpacing/>
        <w:jc w:val="both"/>
        <w:rPr>
          <w:rFonts w:ascii="Times New Roman" w:eastAsia="Times New Roman" w:hAnsi="Times New Roman"/>
          <w:sz w:val="24"/>
          <w:szCs w:val="24"/>
        </w:rPr>
      </w:pPr>
      <w:r w:rsidRPr="008E699D">
        <w:rPr>
          <w:rFonts w:ascii="Times New Roman" w:eastAsia="Times New Roman" w:hAnsi="Times New Roman"/>
          <w:sz w:val="24"/>
          <w:szCs w:val="24"/>
        </w:rPr>
        <w:t xml:space="preserve">O teste de turbidez foi realizado com alíquotas do </w:t>
      </w:r>
      <w:r w:rsidR="00907963" w:rsidRPr="008E699D">
        <w:rPr>
          <w:rFonts w:ascii="Times New Roman" w:eastAsia="Times New Roman" w:hAnsi="Times New Roman"/>
          <w:sz w:val="24"/>
          <w:szCs w:val="24"/>
        </w:rPr>
        <w:t xml:space="preserve">alíquotas do resíduo bruto e do tratado </w:t>
      </w:r>
      <w:r w:rsidRPr="008E699D">
        <w:rPr>
          <w:rFonts w:ascii="Times New Roman" w:eastAsia="Times New Roman" w:hAnsi="Times New Roman"/>
          <w:sz w:val="24"/>
          <w:szCs w:val="24"/>
        </w:rPr>
        <w:t xml:space="preserve">e </w:t>
      </w:r>
      <w:r w:rsidR="00907963" w:rsidRPr="008E699D">
        <w:rPr>
          <w:rFonts w:ascii="Times New Roman" w:eastAsia="Times New Roman" w:hAnsi="Times New Roman"/>
          <w:sz w:val="24"/>
          <w:szCs w:val="24"/>
        </w:rPr>
        <w:t>colhidos em recipientes de vidro.</w:t>
      </w:r>
      <w:r w:rsidRPr="008E699D">
        <w:rPr>
          <w:rFonts w:ascii="Times New Roman" w:eastAsia="Times New Roman" w:hAnsi="Times New Roman"/>
          <w:sz w:val="24"/>
          <w:szCs w:val="24"/>
        </w:rPr>
        <w:t xml:space="preserve"> A turbidez do</w:t>
      </w:r>
      <w:r w:rsidR="00907963" w:rsidRPr="008E699D">
        <w:rPr>
          <w:rFonts w:ascii="Times New Roman" w:eastAsia="Times New Roman" w:hAnsi="Times New Roman"/>
          <w:sz w:val="24"/>
          <w:szCs w:val="24"/>
        </w:rPr>
        <w:t xml:space="preserve"> resíduo bruto</w:t>
      </w:r>
      <w:r w:rsidRPr="008E699D">
        <w:rPr>
          <w:rFonts w:ascii="Times New Roman" w:eastAsia="Times New Roman" w:hAnsi="Times New Roman"/>
          <w:sz w:val="24"/>
          <w:szCs w:val="24"/>
        </w:rPr>
        <w:t xml:space="preserve"> e do resíduo tratado foi de</w:t>
      </w:r>
      <w:r w:rsidR="00907963" w:rsidRPr="008E699D">
        <w:rPr>
          <w:rFonts w:ascii="Times New Roman" w:eastAsia="Times New Roman" w:hAnsi="Times New Roman"/>
          <w:sz w:val="24"/>
          <w:szCs w:val="24"/>
        </w:rPr>
        <w:t xml:space="preserve"> 476 NTU</w:t>
      </w:r>
      <w:r w:rsidRPr="008E699D">
        <w:rPr>
          <w:rFonts w:ascii="Times New Roman" w:eastAsia="Times New Roman" w:hAnsi="Times New Roman"/>
          <w:sz w:val="24"/>
          <w:szCs w:val="24"/>
        </w:rPr>
        <w:t xml:space="preserve"> </w:t>
      </w:r>
      <w:r w:rsidR="00907963" w:rsidRPr="008E699D">
        <w:rPr>
          <w:rFonts w:ascii="Times New Roman" w:eastAsia="Times New Roman" w:hAnsi="Times New Roman"/>
          <w:sz w:val="24"/>
          <w:szCs w:val="24"/>
        </w:rPr>
        <w:t>e 4,64 NTU</w:t>
      </w:r>
      <w:r w:rsidRPr="008E699D">
        <w:rPr>
          <w:rFonts w:ascii="Times New Roman" w:eastAsia="Times New Roman" w:hAnsi="Times New Roman"/>
          <w:sz w:val="24"/>
          <w:szCs w:val="24"/>
        </w:rPr>
        <w:t>, respectivamente</w:t>
      </w:r>
      <w:r w:rsidR="00D938A0" w:rsidRPr="008E699D">
        <w:rPr>
          <w:rFonts w:ascii="Times New Roman" w:eastAsia="Times New Roman" w:hAnsi="Times New Roman"/>
          <w:sz w:val="24"/>
          <w:szCs w:val="24"/>
        </w:rPr>
        <w:t>. A turbidez do resíduo analisado está dentro</w:t>
      </w:r>
      <w:r w:rsidR="00D938A0" w:rsidRPr="00D938A0">
        <w:rPr>
          <w:rFonts w:ascii="Times New Roman" w:eastAsia="Times New Roman" w:hAnsi="Times New Roman"/>
          <w:sz w:val="24"/>
          <w:szCs w:val="24"/>
        </w:rPr>
        <w:t xml:space="preserve"> dos limites permitidos em ambos os órgãos</w:t>
      </w:r>
      <w:r w:rsidR="00D938A0">
        <w:rPr>
          <w:rFonts w:ascii="Times New Roman" w:eastAsia="Times New Roman" w:hAnsi="Times New Roman"/>
          <w:sz w:val="24"/>
          <w:szCs w:val="24"/>
        </w:rPr>
        <w:t>.</w:t>
      </w:r>
      <w:r w:rsidR="00D938A0" w:rsidRPr="00D938A0">
        <w:rPr>
          <w:rFonts w:ascii="Times New Roman" w:eastAsia="Times New Roman" w:hAnsi="Times New Roman"/>
          <w:sz w:val="24"/>
          <w:szCs w:val="24"/>
        </w:rPr>
        <w:t xml:space="preserve"> </w:t>
      </w:r>
      <w:r w:rsidR="00D938A0">
        <w:rPr>
          <w:rFonts w:ascii="Times New Roman" w:eastAsia="Times New Roman" w:hAnsi="Times New Roman"/>
          <w:sz w:val="24"/>
          <w:szCs w:val="24"/>
        </w:rPr>
        <w:t>E</w:t>
      </w:r>
      <w:r w:rsidR="00D938A0" w:rsidRPr="00D938A0">
        <w:rPr>
          <w:rFonts w:ascii="Times New Roman" w:eastAsia="Times New Roman" w:hAnsi="Times New Roman"/>
          <w:sz w:val="24"/>
          <w:szCs w:val="24"/>
        </w:rPr>
        <w:t>nquanto a CONAMA 430/2011 permite valores até 40 NTU, o Ministério da Saúde MS 2914/2011 permite um limite de até 5 NTU. O resíduo tratado apresentou um valor que variou de 4,63 a 4,66 NTU.</w:t>
      </w:r>
    </w:p>
    <w:p w14:paraId="4DE68405" w14:textId="77777777" w:rsidR="00907963" w:rsidRDefault="00F42628" w:rsidP="00907963">
      <w:pPr>
        <w:spacing w:before="240" w:after="240" w:line="360" w:lineRule="auto"/>
        <w:ind w:firstLine="567"/>
        <w:contextualSpacing/>
        <w:jc w:val="both"/>
        <w:rPr>
          <w:rFonts w:ascii="Times New Roman" w:eastAsia="Times New Roman" w:hAnsi="Times New Roman"/>
          <w:sz w:val="24"/>
          <w:szCs w:val="24"/>
        </w:rPr>
      </w:pPr>
      <w:r w:rsidRPr="008E699D">
        <w:rPr>
          <w:rFonts w:ascii="Times New Roman" w:eastAsia="Times New Roman" w:hAnsi="Times New Roman"/>
          <w:sz w:val="24"/>
          <w:szCs w:val="24"/>
        </w:rPr>
        <w:t xml:space="preserve">A </w:t>
      </w:r>
      <w:r w:rsidR="00907963" w:rsidRPr="008E699D">
        <w:rPr>
          <w:rFonts w:ascii="Times New Roman" w:eastAsia="Times New Roman" w:hAnsi="Times New Roman"/>
          <w:sz w:val="24"/>
          <w:szCs w:val="24"/>
        </w:rPr>
        <w:t>análise</w:t>
      </w:r>
      <w:r w:rsidRPr="008E699D">
        <w:rPr>
          <w:rFonts w:ascii="Times New Roman" w:eastAsia="Times New Roman" w:hAnsi="Times New Roman"/>
          <w:sz w:val="24"/>
          <w:szCs w:val="24"/>
        </w:rPr>
        <w:t xml:space="preserve"> de dureza da água</w:t>
      </w:r>
      <w:r w:rsidR="00907963" w:rsidRPr="008E699D">
        <w:rPr>
          <w:rFonts w:ascii="Times New Roman" w:eastAsia="Times New Roman" w:hAnsi="Times New Roman"/>
          <w:sz w:val="24"/>
          <w:szCs w:val="24"/>
        </w:rPr>
        <w:t xml:space="preserve"> </w:t>
      </w:r>
      <w:r w:rsidRPr="008E699D">
        <w:rPr>
          <w:rFonts w:ascii="Times New Roman" w:eastAsia="Times New Roman" w:hAnsi="Times New Roman"/>
          <w:sz w:val="24"/>
          <w:szCs w:val="24"/>
        </w:rPr>
        <w:t>utilizou</w:t>
      </w:r>
      <w:r w:rsidR="00907963" w:rsidRPr="008E699D">
        <w:rPr>
          <w:rFonts w:ascii="Times New Roman" w:eastAsia="Times New Roman" w:hAnsi="Times New Roman"/>
          <w:sz w:val="24"/>
          <w:szCs w:val="24"/>
        </w:rPr>
        <w:t xml:space="preserve"> EDTA como titulante. </w:t>
      </w:r>
      <w:r w:rsidRPr="008E699D">
        <w:rPr>
          <w:rFonts w:ascii="Times New Roman" w:eastAsia="Times New Roman" w:hAnsi="Times New Roman"/>
          <w:sz w:val="24"/>
          <w:szCs w:val="24"/>
        </w:rPr>
        <w:t xml:space="preserve">O efluente bruto apresentou </w:t>
      </w:r>
      <w:r w:rsidR="00907963" w:rsidRPr="008E699D">
        <w:rPr>
          <w:rFonts w:ascii="Times New Roman" w:eastAsia="Times New Roman" w:hAnsi="Times New Roman"/>
          <w:sz w:val="24"/>
          <w:szCs w:val="24"/>
        </w:rPr>
        <w:t>dureza de 280</w:t>
      </w:r>
      <w:r w:rsidRPr="008E699D">
        <w:rPr>
          <w:rFonts w:ascii="Times New Roman" w:eastAsia="Times New Roman" w:hAnsi="Times New Roman"/>
          <w:sz w:val="24"/>
          <w:szCs w:val="24"/>
        </w:rPr>
        <w:t xml:space="preserve"> </w:t>
      </w:r>
      <w:r w:rsidR="00907963" w:rsidRPr="008E699D">
        <w:rPr>
          <w:rFonts w:ascii="Times New Roman" w:eastAsia="Times New Roman" w:hAnsi="Times New Roman"/>
          <w:sz w:val="24"/>
          <w:szCs w:val="24"/>
        </w:rPr>
        <w:t>mg, o que caracteriza uma água dura. Já o</w:t>
      </w:r>
      <w:r w:rsidRPr="008E699D">
        <w:rPr>
          <w:rFonts w:ascii="Times New Roman" w:eastAsia="Times New Roman" w:hAnsi="Times New Roman"/>
          <w:sz w:val="24"/>
          <w:szCs w:val="24"/>
        </w:rPr>
        <w:t xml:space="preserve"> resíduo</w:t>
      </w:r>
      <w:r w:rsidR="00907963" w:rsidRPr="008E699D">
        <w:rPr>
          <w:rFonts w:ascii="Times New Roman" w:eastAsia="Times New Roman" w:hAnsi="Times New Roman"/>
          <w:sz w:val="24"/>
          <w:szCs w:val="24"/>
        </w:rPr>
        <w:t xml:space="preserve"> tratado </w:t>
      </w:r>
      <w:r w:rsidRPr="008E699D">
        <w:rPr>
          <w:rFonts w:ascii="Times New Roman" w:eastAsia="Times New Roman" w:hAnsi="Times New Roman"/>
          <w:sz w:val="24"/>
          <w:szCs w:val="24"/>
        </w:rPr>
        <w:t>a</w:t>
      </w:r>
      <w:r w:rsidR="00907963" w:rsidRPr="008E699D">
        <w:rPr>
          <w:rFonts w:ascii="Times New Roman" w:eastAsia="Times New Roman" w:hAnsi="Times New Roman"/>
          <w:sz w:val="24"/>
          <w:szCs w:val="24"/>
        </w:rPr>
        <w:t xml:space="preserve"> dureza </w:t>
      </w:r>
      <w:r w:rsidRPr="008E699D">
        <w:rPr>
          <w:rFonts w:ascii="Times New Roman" w:eastAsia="Times New Roman" w:hAnsi="Times New Roman"/>
          <w:sz w:val="24"/>
          <w:szCs w:val="24"/>
        </w:rPr>
        <w:t>f</w:t>
      </w:r>
      <w:r w:rsidR="00D938A0" w:rsidRPr="008E699D">
        <w:rPr>
          <w:rFonts w:ascii="Times New Roman" w:eastAsia="Times New Roman" w:hAnsi="Times New Roman"/>
          <w:sz w:val="24"/>
          <w:szCs w:val="24"/>
        </w:rPr>
        <w:t>o</w:t>
      </w:r>
      <w:r w:rsidRPr="008E699D">
        <w:rPr>
          <w:rFonts w:ascii="Times New Roman" w:eastAsia="Times New Roman" w:hAnsi="Times New Roman"/>
          <w:sz w:val="24"/>
          <w:szCs w:val="24"/>
        </w:rPr>
        <w:t xml:space="preserve">i </w:t>
      </w:r>
      <w:r w:rsidR="00907963" w:rsidRPr="008E699D">
        <w:rPr>
          <w:rFonts w:ascii="Times New Roman" w:eastAsia="Times New Roman" w:hAnsi="Times New Roman"/>
          <w:sz w:val="24"/>
          <w:szCs w:val="24"/>
        </w:rPr>
        <w:t>de 144,2</w:t>
      </w:r>
      <w:r w:rsidRPr="008E699D">
        <w:rPr>
          <w:rFonts w:ascii="Times New Roman" w:eastAsia="Times New Roman" w:hAnsi="Times New Roman"/>
          <w:sz w:val="24"/>
          <w:szCs w:val="24"/>
        </w:rPr>
        <w:t xml:space="preserve"> </w:t>
      </w:r>
      <w:r w:rsidR="00907963" w:rsidRPr="008E699D">
        <w:rPr>
          <w:rFonts w:ascii="Times New Roman" w:eastAsia="Times New Roman" w:hAnsi="Times New Roman"/>
          <w:sz w:val="24"/>
          <w:szCs w:val="24"/>
        </w:rPr>
        <w:t>mg, o que caracteriza uma água de dureza moderada.</w:t>
      </w:r>
      <w:r w:rsidR="00907963">
        <w:rPr>
          <w:rFonts w:ascii="Times New Roman" w:eastAsia="Times New Roman" w:hAnsi="Times New Roman"/>
          <w:sz w:val="24"/>
          <w:szCs w:val="24"/>
        </w:rPr>
        <w:t xml:space="preserve"> </w:t>
      </w:r>
      <w:r w:rsidR="00D938A0">
        <w:rPr>
          <w:rFonts w:ascii="Times New Roman" w:eastAsia="Times New Roman" w:hAnsi="Times New Roman"/>
          <w:sz w:val="24"/>
          <w:szCs w:val="24"/>
        </w:rPr>
        <w:t xml:space="preserve"> </w:t>
      </w:r>
    </w:p>
    <w:p w14:paraId="1F63839E" w14:textId="77777777" w:rsidR="00D938A0" w:rsidRDefault="00D938A0" w:rsidP="00D938A0">
      <w:pPr>
        <w:spacing w:before="240" w:after="24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sz w:val="24"/>
          <w:szCs w:val="24"/>
        </w:rPr>
        <w:tab/>
        <w:t xml:space="preserve">As normas adotadas para comparativo neste trabalho não definem exatamente um padrão para o descarte com base na dureza da água, porém ambos os órgãos recomendam amostras que apresentam dureza moderada. </w:t>
      </w:r>
    </w:p>
    <w:p w14:paraId="47BD0908" w14:textId="77777777" w:rsidR="008E699D" w:rsidRDefault="00F42628" w:rsidP="00D938A0">
      <w:pPr>
        <w:spacing w:before="240" w:after="24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Para a determinação de sólidos totais, o resíduo passou por </w:t>
      </w:r>
      <w:r w:rsidR="00907963">
        <w:rPr>
          <w:rFonts w:ascii="Times New Roman" w:eastAsia="Times New Roman" w:hAnsi="Times New Roman"/>
          <w:sz w:val="24"/>
          <w:szCs w:val="24"/>
        </w:rPr>
        <w:t xml:space="preserve">processo de secagem e calcinação. Os valores obtidos foram </w:t>
      </w:r>
      <w:r w:rsidR="000C1C54">
        <w:rPr>
          <w:rFonts w:ascii="Times New Roman" w:eastAsia="Times New Roman" w:hAnsi="Times New Roman"/>
          <w:sz w:val="24"/>
          <w:szCs w:val="24"/>
        </w:rPr>
        <w:t xml:space="preserve">calculados pela </w:t>
      </w:r>
      <w:r w:rsidR="00907963">
        <w:rPr>
          <w:rFonts w:ascii="Times New Roman" w:eastAsia="Times New Roman" w:hAnsi="Times New Roman"/>
          <w:sz w:val="24"/>
          <w:szCs w:val="24"/>
        </w:rPr>
        <w:t>equação</w:t>
      </w:r>
      <w:r w:rsidR="008E699D">
        <w:rPr>
          <w:rFonts w:ascii="Times New Roman" w:eastAsia="Times New Roman" w:hAnsi="Times New Roman"/>
          <w:sz w:val="24"/>
          <w:szCs w:val="24"/>
        </w:rPr>
        <w:t xml:space="preserve"> 1</w:t>
      </w:r>
      <w:r w:rsidR="00907963">
        <w:rPr>
          <w:rFonts w:ascii="Times New Roman" w:eastAsia="Times New Roman" w:hAnsi="Times New Roman"/>
          <w:sz w:val="24"/>
          <w:szCs w:val="24"/>
        </w:rPr>
        <w:t xml:space="preserve"> para </w:t>
      </w:r>
      <w:r w:rsidR="008E699D">
        <w:rPr>
          <w:rFonts w:ascii="Times New Roman" w:eastAsia="Times New Roman" w:hAnsi="Times New Roman"/>
          <w:sz w:val="24"/>
          <w:szCs w:val="24"/>
        </w:rPr>
        <w:t xml:space="preserve">obtenção dos valores </w:t>
      </w:r>
      <w:r w:rsidR="00907963">
        <w:rPr>
          <w:rFonts w:ascii="Times New Roman" w:eastAsia="Times New Roman" w:hAnsi="Times New Roman"/>
          <w:sz w:val="24"/>
          <w:szCs w:val="24"/>
        </w:rPr>
        <w:t>de sólidos totais</w:t>
      </w:r>
      <w:r w:rsidR="008E699D">
        <w:rPr>
          <w:rFonts w:ascii="Times New Roman" w:eastAsia="Times New Roman" w:hAnsi="Times New Roman"/>
          <w:sz w:val="24"/>
          <w:szCs w:val="24"/>
        </w:rPr>
        <w:t>.</w:t>
      </w:r>
    </w:p>
    <w:p w14:paraId="3A10606F" w14:textId="77777777" w:rsidR="008E699D" w:rsidRDefault="008E699D" w:rsidP="008E699D">
      <w:pPr>
        <w:autoSpaceDE w:val="0"/>
        <w:autoSpaceDN w:val="0"/>
        <w:adjustRightInd w:val="0"/>
        <w:spacing w:after="0" w:line="360" w:lineRule="auto"/>
        <w:rPr>
          <w:rFonts w:ascii="Times New Roman" w:hAnsi="Times New Roman"/>
          <w:b/>
          <w:sz w:val="24"/>
          <w:szCs w:val="24"/>
          <w:lang w:val="en-US"/>
        </w:rPr>
      </w:pPr>
      <w:r w:rsidRPr="00E64DCF">
        <w:rPr>
          <w:rFonts w:ascii="Times New Roman" w:hAnsi="Times New Roman"/>
          <w:b/>
          <w:sz w:val="24"/>
          <w:szCs w:val="24"/>
          <w:lang w:val="en-US"/>
        </w:rPr>
        <w:t>S</w:t>
      </w:r>
      <w:r>
        <w:rPr>
          <w:rFonts w:ascii="Times New Roman" w:hAnsi="Times New Roman"/>
          <w:b/>
          <w:sz w:val="24"/>
          <w:szCs w:val="24"/>
          <w:lang w:val="en-US"/>
        </w:rPr>
        <w:t>T (mg x L</w:t>
      </w:r>
      <w:r>
        <w:rPr>
          <w:rFonts w:ascii="Times New Roman" w:hAnsi="Times New Roman"/>
          <w:b/>
          <w:sz w:val="24"/>
          <w:szCs w:val="24"/>
          <w:vertAlign w:val="superscript"/>
          <w:lang w:val="en-US"/>
        </w:rPr>
        <w:t>-1</w:t>
      </w:r>
      <w:r>
        <w:rPr>
          <w:rFonts w:ascii="Times New Roman" w:hAnsi="Times New Roman"/>
          <w:b/>
          <w:sz w:val="24"/>
          <w:szCs w:val="24"/>
          <w:lang w:val="en-US"/>
        </w:rPr>
        <w:t>) = (</w:t>
      </w:r>
      <w:r w:rsidRPr="00E64DCF">
        <w:rPr>
          <w:rFonts w:ascii="Times New Roman" w:hAnsi="Times New Roman"/>
          <w:b/>
          <w:sz w:val="24"/>
          <w:szCs w:val="24"/>
          <w:lang w:val="en-US"/>
        </w:rPr>
        <w:t>M)*1000000/V (4)</w:t>
      </w:r>
      <w:r>
        <w:rPr>
          <w:rFonts w:ascii="Times New Roman" w:hAnsi="Times New Roman"/>
          <w:b/>
          <w:sz w:val="24"/>
          <w:szCs w:val="24"/>
          <w:lang w:val="en-US"/>
        </w:rPr>
        <w:t xml:space="preserve">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Equação 1</w:t>
      </w:r>
    </w:p>
    <w:p w14:paraId="215044B6" w14:textId="77777777" w:rsidR="008E699D" w:rsidRPr="00E64DCF" w:rsidRDefault="008E699D" w:rsidP="008E699D">
      <w:pPr>
        <w:autoSpaceDE w:val="0"/>
        <w:autoSpaceDN w:val="0"/>
        <w:adjustRightInd w:val="0"/>
        <w:spacing w:after="0" w:line="360" w:lineRule="auto"/>
        <w:ind w:firstLine="284"/>
        <w:jc w:val="both"/>
        <w:rPr>
          <w:rFonts w:ascii="Times New Roman" w:hAnsi="Times New Roman"/>
          <w:sz w:val="24"/>
          <w:szCs w:val="24"/>
          <w:lang w:val="en-US"/>
        </w:rPr>
      </w:pPr>
    </w:p>
    <w:p w14:paraId="1F68D169" w14:textId="77777777" w:rsidR="008E699D" w:rsidRPr="00106D5C" w:rsidRDefault="008E699D" w:rsidP="008E699D">
      <w:pPr>
        <w:autoSpaceDE w:val="0"/>
        <w:autoSpaceDN w:val="0"/>
        <w:adjustRightInd w:val="0"/>
        <w:spacing w:after="0" w:line="360" w:lineRule="auto"/>
        <w:jc w:val="both"/>
        <w:rPr>
          <w:rFonts w:ascii="Times New Roman" w:hAnsi="Times New Roman"/>
          <w:sz w:val="24"/>
          <w:szCs w:val="24"/>
        </w:rPr>
      </w:pPr>
      <w:r w:rsidRPr="00106D5C">
        <w:rPr>
          <w:rFonts w:ascii="Times New Roman" w:hAnsi="Times New Roman"/>
          <w:sz w:val="24"/>
          <w:szCs w:val="24"/>
        </w:rPr>
        <w:t xml:space="preserve">Onde: </w:t>
      </w:r>
    </w:p>
    <w:p w14:paraId="13367413" w14:textId="77777777" w:rsidR="008E699D" w:rsidRDefault="008E699D" w:rsidP="008E699D">
      <w:pPr>
        <w:autoSpaceDE w:val="0"/>
        <w:autoSpaceDN w:val="0"/>
        <w:adjustRightInd w:val="0"/>
        <w:spacing w:after="0" w:line="360" w:lineRule="auto"/>
        <w:jc w:val="both"/>
        <w:rPr>
          <w:rFonts w:ascii="Times New Roman" w:hAnsi="Times New Roman"/>
          <w:sz w:val="24"/>
          <w:szCs w:val="24"/>
        </w:rPr>
      </w:pPr>
      <w:r w:rsidRPr="00E64DCF">
        <w:rPr>
          <w:rFonts w:ascii="Times New Roman" w:hAnsi="Times New Roman"/>
          <w:sz w:val="24"/>
          <w:szCs w:val="24"/>
        </w:rPr>
        <w:t>M= Massa(g) do resíduo s</w:t>
      </w:r>
      <w:r>
        <w:rPr>
          <w:rFonts w:ascii="Times New Roman" w:hAnsi="Times New Roman"/>
          <w:sz w:val="24"/>
          <w:szCs w:val="24"/>
        </w:rPr>
        <w:t>ólido obtido.</w:t>
      </w:r>
    </w:p>
    <w:p w14:paraId="2B0FC8F5" w14:textId="77777777" w:rsidR="008E699D" w:rsidRDefault="008E699D" w:rsidP="008E699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 Volume (mL) da amostra utilizada.</w:t>
      </w:r>
    </w:p>
    <w:p w14:paraId="179D207E" w14:textId="77777777" w:rsidR="008E699D" w:rsidRDefault="008E699D" w:rsidP="008E699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1000000 = Fator e conversão (g.mL</w:t>
      </w:r>
      <w:r>
        <w:rPr>
          <w:rFonts w:ascii="Times New Roman" w:hAnsi="Times New Roman"/>
          <w:sz w:val="24"/>
          <w:szCs w:val="24"/>
          <w:vertAlign w:val="superscript"/>
        </w:rPr>
        <w:t>-1</w:t>
      </w:r>
      <w:r>
        <w:rPr>
          <w:rFonts w:ascii="Times New Roman" w:hAnsi="Times New Roman"/>
          <w:sz w:val="24"/>
          <w:szCs w:val="24"/>
        </w:rPr>
        <w:t>) para (mg.L</w:t>
      </w:r>
      <w:r>
        <w:rPr>
          <w:rFonts w:ascii="Times New Roman" w:hAnsi="Times New Roman"/>
          <w:sz w:val="24"/>
          <w:szCs w:val="24"/>
          <w:vertAlign w:val="superscript"/>
        </w:rPr>
        <w:t>-1</w:t>
      </w:r>
      <w:r>
        <w:rPr>
          <w:rFonts w:ascii="Times New Roman" w:hAnsi="Times New Roman"/>
          <w:sz w:val="24"/>
          <w:szCs w:val="24"/>
        </w:rPr>
        <w:t>)</w:t>
      </w:r>
    </w:p>
    <w:p w14:paraId="01F4522D" w14:textId="77777777" w:rsidR="008E699D" w:rsidRDefault="008E699D" w:rsidP="00D938A0">
      <w:pPr>
        <w:spacing w:before="240" w:after="240" w:line="360" w:lineRule="auto"/>
        <w:ind w:firstLine="567"/>
        <w:contextualSpacing/>
        <w:jc w:val="both"/>
        <w:rPr>
          <w:rFonts w:ascii="Times New Roman" w:eastAsia="Times New Roman" w:hAnsi="Times New Roman"/>
          <w:sz w:val="24"/>
          <w:szCs w:val="24"/>
        </w:rPr>
      </w:pPr>
    </w:p>
    <w:p w14:paraId="15013801" w14:textId="77777777" w:rsidR="00D938A0" w:rsidRDefault="00907963" w:rsidP="00D938A0">
      <w:pPr>
        <w:spacing w:before="240" w:after="24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C1C54" w:rsidRPr="008E699D">
        <w:rPr>
          <w:rFonts w:ascii="Times New Roman" w:eastAsia="Times New Roman" w:hAnsi="Times New Roman"/>
          <w:sz w:val="24"/>
          <w:szCs w:val="24"/>
        </w:rPr>
        <w:t xml:space="preserve">O resíduo bruto apresentou </w:t>
      </w:r>
      <w:r w:rsidRPr="008E699D">
        <w:rPr>
          <w:rFonts w:ascii="Times New Roman" w:eastAsia="Times New Roman" w:hAnsi="Times New Roman"/>
          <w:sz w:val="24"/>
          <w:szCs w:val="24"/>
        </w:rPr>
        <w:t>9080 mg</w:t>
      </w:r>
      <w:r w:rsidR="000C1C54" w:rsidRPr="008E699D">
        <w:rPr>
          <w:rFonts w:ascii="Times New Roman" w:eastAsia="Times New Roman" w:hAnsi="Times New Roman"/>
          <w:sz w:val="24"/>
          <w:szCs w:val="24"/>
        </w:rPr>
        <w:t>.</w:t>
      </w:r>
      <w:r w:rsidRPr="008E699D">
        <w:rPr>
          <w:rFonts w:ascii="Times New Roman" w:eastAsia="Times New Roman" w:hAnsi="Times New Roman"/>
          <w:sz w:val="24"/>
          <w:szCs w:val="24"/>
        </w:rPr>
        <w:t>L</w:t>
      </w:r>
      <w:r w:rsidRPr="008E699D">
        <w:rPr>
          <w:rFonts w:ascii="Times New Roman" w:eastAsia="Times New Roman" w:hAnsi="Times New Roman"/>
          <w:sz w:val="24"/>
          <w:szCs w:val="24"/>
          <w:vertAlign w:val="superscript"/>
        </w:rPr>
        <w:t>-1</w:t>
      </w:r>
      <w:r w:rsidRPr="008E699D">
        <w:rPr>
          <w:rFonts w:ascii="Times New Roman" w:eastAsia="Times New Roman" w:hAnsi="Times New Roman"/>
          <w:sz w:val="24"/>
          <w:szCs w:val="24"/>
        </w:rPr>
        <w:t xml:space="preserve"> de sólidos totais. Enquanto o tratado apresent</w:t>
      </w:r>
      <w:r w:rsidR="000C1C54" w:rsidRPr="008E699D">
        <w:rPr>
          <w:rFonts w:ascii="Times New Roman" w:eastAsia="Times New Roman" w:hAnsi="Times New Roman"/>
          <w:sz w:val="24"/>
          <w:szCs w:val="24"/>
        </w:rPr>
        <w:t>ou</w:t>
      </w:r>
      <w:r w:rsidRPr="008E699D">
        <w:rPr>
          <w:rFonts w:ascii="Times New Roman" w:eastAsia="Times New Roman" w:hAnsi="Times New Roman"/>
          <w:sz w:val="24"/>
          <w:szCs w:val="24"/>
        </w:rPr>
        <w:t xml:space="preserve"> 235 mg</w:t>
      </w:r>
      <w:r w:rsidR="000C1C54" w:rsidRPr="008E699D">
        <w:rPr>
          <w:rFonts w:ascii="Times New Roman" w:eastAsia="Times New Roman" w:hAnsi="Times New Roman"/>
          <w:sz w:val="24"/>
          <w:szCs w:val="24"/>
        </w:rPr>
        <w:t>.</w:t>
      </w:r>
      <w:r w:rsidRPr="008E699D">
        <w:rPr>
          <w:rFonts w:ascii="Times New Roman" w:eastAsia="Times New Roman" w:hAnsi="Times New Roman"/>
          <w:sz w:val="24"/>
          <w:szCs w:val="24"/>
        </w:rPr>
        <w:t>L</w:t>
      </w:r>
      <w:r w:rsidRPr="008E699D">
        <w:rPr>
          <w:rFonts w:ascii="Times New Roman" w:eastAsia="Times New Roman" w:hAnsi="Times New Roman"/>
          <w:sz w:val="24"/>
          <w:szCs w:val="24"/>
          <w:vertAlign w:val="superscript"/>
        </w:rPr>
        <w:t>-1</w:t>
      </w:r>
      <w:r w:rsidRPr="008E699D">
        <w:rPr>
          <w:rFonts w:ascii="Times New Roman" w:eastAsia="Times New Roman" w:hAnsi="Times New Roman"/>
          <w:sz w:val="24"/>
          <w:szCs w:val="24"/>
        </w:rPr>
        <w:t>.</w:t>
      </w:r>
      <w:r w:rsidR="000C1C54" w:rsidRPr="008E699D">
        <w:rPr>
          <w:rFonts w:ascii="Times New Roman" w:eastAsia="Times New Roman" w:hAnsi="Times New Roman"/>
          <w:sz w:val="24"/>
          <w:szCs w:val="24"/>
        </w:rPr>
        <w:t xml:space="preserve"> </w:t>
      </w:r>
      <w:r w:rsidR="00D938A0" w:rsidRPr="008E699D">
        <w:rPr>
          <w:rFonts w:ascii="Times New Roman" w:eastAsia="Times New Roman" w:hAnsi="Times New Roman"/>
          <w:sz w:val="24"/>
          <w:szCs w:val="24"/>
        </w:rPr>
        <w:t>O parâmetro de sólidos totais também se enquadrou nos limites permitidos por ambos os órgãos (CONAMA 430/2011 permite valores de até 500 mg</w:t>
      </w:r>
      <w:r w:rsidR="008E699D">
        <w:rPr>
          <w:rFonts w:ascii="Times New Roman" w:eastAsia="Times New Roman" w:hAnsi="Times New Roman"/>
          <w:sz w:val="24"/>
          <w:szCs w:val="24"/>
        </w:rPr>
        <w:t>.</w:t>
      </w:r>
      <w:r w:rsidR="00D938A0" w:rsidRPr="008E699D">
        <w:rPr>
          <w:rFonts w:ascii="Times New Roman" w:eastAsia="Times New Roman" w:hAnsi="Times New Roman"/>
          <w:sz w:val="24"/>
          <w:szCs w:val="24"/>
        </w:rPr>
        <w:t>L</w:t>
      </w:r>
      <w:r w:rsidR="00D938A0" w:rsidRPr="008E699D">
        <w:rPr>
          <w:rFonts w:ascii="Times New Roman" w:eastAsia="Times New Roman" w:hAnsi="Times New Roman"/>
          <w:sz w:val="24"/>
          <w:szCs w:val="24"/>
          <w:vertAlign w:val="superscript"/>
        </w:rPr>
        <w:t>-1</w:t>
      </w:r>
      <w:r w:rsidR="00D938A0" w:rsidRPr="008E699D">
        <w:rPr>
          <w:rFonts w:ascii="Times New Roman" w:eastAsia="Times New Roman" w:hAnsi="Times New Roman"/>
          <w:sz w:val="24"/>
          <w:szCs w:val="24"/>
        </w:rPr>
        <w:t xml:space="preserve"> e Ministério da Saúde MS 2914/2011 permite até 1000 mg</w:t>
      </w:r>
      <w:r w:rsidR="008E699D">
        <w:rPr>
          <w:rFonts w:ascii="Times New Roman" w:eastAsia="Times New Roman" w:hAnsi="Times New Roman"/>
          <w:sz w:val="24"/>
          <w:szCs w:val="24"/>
        </w:rPr>
        <w:t>.</w:t>
      </w:r>
      <w:r w:rsidR="00D938A0" w:rsidRPr="008E699D">
        <w:rPr>
          <w:rFonts w:ascii="Times New Roman" w:eastAsia="Times New Roman" w:hAnsi="Times New Roman"/>
          <w:sz w:val="24"/>
          <w:szCs w:val="24"/>
        </w:rPr>
        <w:t xml:space="preserve"> L</w:t>
      </w:r>
      <w:r w:rsidR="00D938A0" w:rsidRPr="008E699D">
        <w:rPr>
          <w:rFonts w:ascii="Times New Roman" w:eastAsia="Times New Roman" w:hAnsi="Times New Roman"/>
          <w:sz w:val="24"/>
          <w:szCs w:val="24"/>
          <w:vertAlign w:val="superscript"/>
        </w:rPr>
        <w:t>-1</w:t>
      </w:r>
      <w:r w:rsidR="00D938A0" w:rsidRPr="008E699D">
        <w:rPr>
          <w:rFonts w:ascii="Times New Roman" w:eastAsia="Times New Roman" w:hAnsi="Times New Roman"/>
          <w:sz w:val="24"/>
          <w:szCs w:val="24"/>
        </w:rPr>
        <w:t>).</w:t>
      </w:r>
    </w:p>
    <w:p w14:paraId="6ACE45EB" w14:textId="77777777" w:rsidR="00907963" w:rsidRDefault="000C1C54" w:rsidP="000C1C54">
      <w:pPr>
        <w:spacing w:before="240" w:after="240" w:line="360" w:lineRule="auto"/>
        <w:ind w:firstLine="567"/>
        <w:contextualSpacing/>
        <w:jc w:val="both"/>
        <w:rPr>
          <w:rStyle w:val="nfaseSutil"/>
          <w:rFonts w:ascii="Times New Roman" w:hAnsi="Times New Roman"/>
          <w:i w:val="0"/>
        </w:rPr>
      </w:pPr>
      <w:r w:rsidRPr="008E699D">
        <w:rPr>
          <w:rFonts w:ascii="Times New Roman" w:eastAsia="Times New Roman" w:hAnsi="Times New Roman"/>
          <w:sz w:val="24"/>
          <w:szCs w:val="24"/>
        </w:rPr>
        <w:t>A</w:t>
      </w:r>
      <w:r w:rsidR="00907963" w:rsidRPr="008E699D">
        <w:rPr>
          <w:rFonts w:ascii="Times New Roman" w:eastAsia="Times New Roman" w:hAnsi="Times New Roman"/>
          <w:sz w:val="24"/>
          <w:szCs w:val="24"/>
        </w:rPr>
        <w:t xml:space="preserve"> curva de DQO</w:t>
      </w:r>
      <w:r w:rsidRPr="008E699D">
        <w:rPr>
          <w:rFonts w:ascii="Times New Roman" w:eastAsia="Times New Roman" w:hAnsi="Times New Roman"/>
          <w:sz w:val="24"/>
          <w:szCs w:val="24"/>
        </w:rPr>
        <w:t xml:space="preserve"> foi construída por espectroscopia de absorção com λ</w:t>
      </w:r>
      <w:r w:rsidRPr="008E699D">
        <w:rPr>
          <w:rFonts w:ascii="Times New Roman" w:eastAsia="Times New Roman" w:hAnsi="Times New Roman"/>
          <w:sz w:val="24"/>
          <w:szCs w:val="24"/>
          <w:vertAlign w:val="subscript"/>
        </w:rPr>
        <w:t>max</w:t>
      </w:r>
      <w:r w:rsidRPr="008E699D">
        <w:rPr>
          <w:rFonts w:ascii="Times New Roman" w:eastAsia="Times New Roman" w:hAnsi="Times New Roman"/>
          <w:sz w:val="24"/>
          <w:szCs w:val="24"/>
        </w:rPr>
        <w:t xml:space="preserve"> em 600 nm (Figura 5</w:t>
      </w:r>
      <w:r w:rsidR="008E699D" w:rsidRPr="008E699D">
        <w:rPr>
          <w:rFonts w:ascii="Times New Roman" w:eastAsia="Times New Roman" w:hAnsi="Times New Roman"/>
          <w:sz w:val="24"/>
          <w:szCs w:val="24"/>
        </w:rPr>
        <w:t>).</w:t>
      </w:r>
    </w:p>
    <w:p w14:paraId="065D4B20" w14:textId="77777777" w:rsidR="00907963" w:rsidRDefault="00907963" w:rsidP="00907963">
      <w:pPr>
        <w:spacing w:before="240" w:after="240" w:line="360" w:lineRule="auto"/>
        <w:ind w:firstLine="567"/>
        <w:jc w:val="center"/>
        <w:rPr>
          <w:rFonts w:ascii="Times New Roman" w:eastAsia="Times New Roman" w:hAnsi="Times New Roman"/>
          <w:sz w:val="24"/>
          <w:szCs w:val="24"/>
        </w:rPr>
      </w:pPr>
      <w:r w:rsidRPr="008E699D">
        <w:rPr>
          <w:rFonts w:ascii="Times New Roman" w:eastAsia="Times New Roman" w:hAnsi="Times New Roman"/>
          <w:noProof/>
          <w:sz w:val="24"/>
          <w:szCs w:val="24"/>
        </w:rPr>
        <w:drawing>
          <wp:anchor distT="0" distB="0" distL="114300" distR="114300" simplePos="0" relativeHeight="251657728" behindDoc="0" locked="0" layoutInCell="1" allowOverlap="1" wp14:anchorId="292D4AB6" wp14:editId="4997F525">
            <wp:simplePos x="0" y="0"/>
            <wp:positionH relativeFrom="margin">
              <wp:align>center</wp:align>
            </wp:positionH>
            <wp:positionV relativeFrom="paragraph">
              <wp:posOffset>231775</wp:posOffset>
            </wp:positionV>
            <wp:extent cx="4584065" cy="2755265"/>
            <wp:effectExtent l="0" t="0" r="6985" b="6985"/>
            <wp:wrapSquare wrapText="bothSides"/>
            <wp:docPr id="8" name="Gráfico 8">
              <a:extLst xmlns:a="http://schemas.openxmlformats.org/drawingml/2006/main">
                <a:ext uri="{FF2B5EF4-FFF2-40B4-BE49-F238E27FC236}">
                  <a16:creationId xmlns:a16="http://schemas.microsoft.com/office/drawing/2014/main" id="{9575709A-8836-4A22-9B5B-EEC9DDB93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0C1C54" w:rsidRPr="008E699D">
        <w:rPr>
          <w:rFonts w:ascii="Times New Roman" w:eastAsia="Times New Roman" w:hAnsi="Times New Roman"/>
          <w:sz w:val="24"/>
          <w:szCs w:val="24"/>
        </w:rPr>
        <w:t>Figura</w:t>
      </w:r>
      <w:r w:rsidRPr="008E699D">
        <w:rPr>
          <w:rFonts w:ascii="Times New Roman" w:eastAsia="Times New Roman" w:hAnsi="Times New Roman"/>
          <w:sz w:val="24"/>
          <w:szCs w:val="24"/>
        </w:rPr>
        <w:t xml:space="preserve"> 5: Curva de DQO com base nos padrões analisados.</w:t>
      </w:r>
    </w:p>
    <w:p w14:paraId="4417BCC1" w14:textId="77777777" w:rsidR="00907963" w:rsidRDefault="00907963" w:rsidP="00907963">
      <w:pPr>
        <w:spacing w:before="240" w:after="240" w:line="360" w:lineRule="auto"/>
        <w:ind w:firstLine="284"/>
        <w:jc w:val="both"/>
        <w:rPr>
          <w:rFonts w:ascii="Times New Roman" w:eastAsia="Times New Roman" w:hAnsi="Times New Roman"/>
          <w:sz w:val="24"/>
          <w:szCs w:val="24"/>
        </w:rPr>
      </w:pPr>
    </w:p>
    <w:p w14:paraId="5DB0FF72" w14:textId="77777777" w:rsidR="00907963" w:rsidRDefault="00907963" w:rsidP="00907963">
      <w:pPr>
        <w:spacing w:before="240" w:after="240" w:line="360" w:lineRule="auto"/>
        <w:ind w:firstLine="284"/>
        <w:jc w:val="both"/>
        <w:rPr>
          <w:rFonts w:ascii="Times New Roman" w:eastAsia="Times New Roman" w:hAnsi="Times New Roman"/>
          <w:sz w:val="24"/>
          <w:szCs w:val="24"/>
        </w:rPr>
      </w:pPr>
    </w:p>
    <w:p w14:paraId="6A448F41" w14:textId="77777777" w:rsidR="00907963" w:rsidRDefault="00907963" w:rsidP="00907963">
      <w:pPr>
        <w:spacing w:before="240" w:after="240" w:line="360" w:lineRule="auto"/>
        <w:ind w:firstLine="284"/>
        <w:jc w:val="both"/>
        <w:rPr>
          <w:rFonts w:ascii="Times New Roman" w:eastAsia="Times New Roman" w:hAnsi="Times New Roman"/>
          <w:sz w:val="24"/>
          <w:szCs w:val="24"/>
        </w:rPr>
      </w:pPr>
    </w:p>
    <w:p w14:paraId="63389E75" w14:textId="77777777" w:rsidR="00907963" w:rsidRDefault="00907963" w:rsidP="00907963">
      <w:pPr>
        <w:spacing w:before="240" w:after="240" w:line="360" w:lineRule="auto"/>
        <w:ind w:firstLine="284"/>
        <w:jc w:val="both"/>
        <w:rPr>
          <w:rFonts w:ascii="Times New Roman" w:eastAsia="Times New Roman" w:hAnsi="Times New Roman"/>
          <w:sz w:val="24"/>
          <w:szCs w:val="24"/>
        </w:rPr>
      </w:pPr>
    </w:p>
    <w:p w14:paraId="0E23D349" w14:textId="77777777" w:rsidR="008E699D" w:rsidRDefault="008E699D" w:rsidP="00907963">
      <w:pPr>
        <w:spacing w:before="240" w:after="240" w:line="360" w:lineRule="auto"/>
        <w:ind w:firstLine="284"/>
        <w:jc w:val="both"/>
        <w:rPr>
          <w:rFonts w:ascii="Times New Roman" w:eastAsia="Times New Roman" w:hAnsi="Times New Roman"/>
          <w:sz w:val="24"/>
          <w:szCs w:val="24"/>
        </w:rPr>
      </w:pPr>
    </w:p>
    <w:p w14:paraId="0F6D56C3" w14:textId="77777777" w:rsidR="008E699D" w:rsidRDefault="008E699D" w:rsidP="00907963">
      <w:pPr>
        <w:spacing w:before="240" w:after="240" w:line="360" w:lineRule="auto"/>
        <w:ind w:firstLine="284"/>
        <w:jc w:val="both"/>
        <w:rPr>
          <w:rFonts w:ascii="Times New Roman" w:eastAsia="Times New Roman" w:hAnsi="Times New Roman"/>
          <w:sz w:val="24"/>
          <w:szCs w:val="24"/>
        </w:rPr>
      </w:pPr>
    </w:p>
    <w:p w14:paraId="70A63600" w14:textId="77777777" w:rsidR="008E699D" w:rsidRDefault="008E699D" w:rsidP="008E699D">
      <w:pPr>
        <w:pStyle w:val="PargrafodaLista"/>
        <w:spacing w:after="0" w:line="360" w:lineRule="auto"/>
        <w:ind w:left="0"/>
        <w:jc w:val="center"/>
        <w:rPr>
          <w:rFonts w:ascii="Times New Roman" w:hAnsi="Times New Roman"/>
          <w:bCs/>
          <w:smallCaps/>
          <w:sz w:val="24"/>
          <w:szCs w:val="24"/>
        </w:rPr>
      </w:pPr>
    </w:p>
    <w:p w14:paraId="3372A2ED" w14:textId="77777777" w:rsidR="008E699D" w:rsidRPr="004D0083" w:rsidRDefault="008E699D" w:rsidP="008E699D">
      <w:pPr>
        <w:pStyle w:val="PargrafodaLista"/>
        <w:spacing w:after="0" w:line="360" w:lineRule="auto"/>
        <w:ind w:left="0"/>
        <w:jc w:val="center"/>
        <w:rPr>
          <w:rFonts w:ascii="Times New Roman" w:hAnsi="Times New Roman"/>
          <w:bCs/>
          <w:smallCaps/>
          <w:sz w:val="24"/>
          <w:szCs w:val="24"/>
        </w:rPr>
      </w:pPr>
      <w:r w:rsidRPr="004D0083">
        <w:rPr>
          <w:rFonts w:ascii="Times New Roman" w:hAnsi="Times New Roman"/>
          <w:bCs/>
          <w:smallCaps/>
          <w:sz w:val="24"/>
          <w:szCs w:val="24"/>
        </w:rPr>
        <w:t>Fonte: o Autor (2019).</w:t>
      </w:r>
    </w:p>
    <w:p w14:paraId="4FE11A90" w14:textId="77777777" w:rsidR="000C1C54" w:rsidRDefault="000C1C54" w:rsidP="000C1C54">
      <w:pPr>
        <w:spacing w:before="240" w:after="240" w:line="360" w:lineRule="auto"/>
        <w:ind w:firstLine="567"/>
        <w:jc w:val="both"/>
        <w:rPr>
          <w:rFonts w:ascii="Times New Roman" w:eastAsia="Times New Roman" w:hAnsi="Times New Roman"/>
          <w:sz w:val="24"/>
          <w:szCs w:val="24"/>
        </w:rPr>
      </w:pPr>
    </w:p>
    <w:p w14:paraId="09C4F68F" w14:textId="77777777" w:rsidR="000C1C54" w:rsidRDefault="000C1C54" w:rsidP="00907963">
      <w:pPr>
        <w:spacing w:before="240" w:after="240" w:line="360" w:lineRule="auto"/>
        <w:ind w:firstLine="567"/>
        <w:contextualSpacing/>
        <w:jc w:val="both"/>
        <w:rPr>
          <w:rFonts w:ascii="Times New Roman" w:eastAsia="Times New Roman" w:hAnsi="Times New Roman"/>
          <w:sz w:val="24"/>
          <w:szCs w:val="24"/>
        </w:rPr>
      </w:pPr>
      <w:r w:rsidRPr="008E699D">
        <w:rPr>
          <w:rFonts w:ascii="Times New Roman" w:eastAsia="Times New Roman" w:hAnsi="Times New Roman"/>
          <w:sz w:val="24"/>
          <w:szCs w:val="24"/>
        </w:rPr>
        <w:lastRenderedPageBreak/>
        <w:t>O resíduo bruto apresentou DQO médio de 1431,43 mg.L</w:t>
      </w:r>
      <w:r w:rsidRPr="008E699D">
        <w:rPr>
          <w:rFonts w:ascii="Times New Roman" w:eastAsia="Times New Roman" w:hAnsi="Times New Roman"/>
          <w:sz w:val="24"/>
          <w:szCs w:val="24"/>
          <w:vertAlign w:val="superscript"/>
        </w:rPr>
        <w:t xml:space="preserve">-1 </w:t>
      </w:r>
      <w:r w:rsidRPr="008E699D">
        <w:rPr>
          <w:rFonts w:ascii="Times New Roman" w:eastAsia="Times New Roman" w:hAnsi="Times New Roman"/>
          <w:sz w:val="24"/>
          <w:szCs w:val="24"/>
        </w:rPr>
        <w:t>e o resíduo tratado apresentou valores de DQO de 338,57 mg</w:t>
      </w:r>
      <w:r w:rsidR="008E699D">
        <w:rPr>
          <w:rFonts w:ascii="Times New Roman" w:eastAsia="Times New Roman" w:hAnsi="Times New Roman"/>
          <w:sz w:val="24"/>
          <w:szCs w:val="24"/>
        </w:rPr>
        <w:t>.</w:t>
      </w:r>
      <w:r w:rsidRPr="008E699D">
        <w:rPr>
          <w:rFonts w:ascii="Times New Roman" w:eastAsia="Times New Roman" w:hAnsi="Times New Roman"/>
          <w:sz w:val="24"/>
          <w:szCs w:val="24"/>
        </w:rPr>
        <w:t xml:space="preserve"> L</w:t>
      </w:r>
      <w:r w:rsidRPr="008E699D">
        <w:rPr>
          <w:rFonts w:ascii="Times New Roman" w:eastAsia="Times New Roman" w:hAnsi="Times New Roman"/>
          <w:sz w:val="24"/>
          <w:szCs w:val="24"/>
          <w:vertAlign w:val="superscript"/>
        </w:rPr>
        <w:t>-1</w:t>
      </w:r>
      <w:r w:rsidRPr="008E699D">
        <w:rPr>
          <w:rFonts w:ascii="Times New Roman" w:eastAsia="Times New Roman" w:hAnsi="Times New Roman"/>
          <w:sz w:val="24"/>
          <w:szCs w:val="24"/>
        </w:rPr>
        <w:t>.</w:t>
      </w:r>
    </w:p>
    <w:p w14:paraId="6433832B" w14:textId="77777777" w:rsidR="00E95B48" w:rsidRDefault="00E95B48" w:rsidP="00E95B48">
      <w:pPr>
        <w:spacing w:before="240" w:after="24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O DQO não possui limite padrão de desparte para esse resíduo segundo a CONAMA ou pelo Ministério da Saúde. Mas, há um padrão utilizado por responsáveis pelo descarte, de que o mesmo só pode ser realizado em redes de esgoto se o resíduo radiológico apresentar níveis abaixo de 450 mg de O</w:t>
      </w:r>
      <w:r>
        <w:rPr>
          <w:rFonts w:ascii="Times New Roman" w:eastAsia="Times New Roman" w:hAnsi="Times New Roman"/>
          <w:sz w:val="16"/>
          <w:szCs w:val="16"/>
        </w:rPr>
        <w:t>2</w:t>
      </w:r>
      <w:r>
        <w:rPr>
          <w:rFonts w:ascii="Times New Roman" w:eastAsia="Times New Roman" w:hAnsi="Times New Roman"/>
          <w:sz w:val="24"/>
          <w:szCs w:val="24"/>
        </w:rPr>
        <w:t>.L</w:t>
      </w:r>
      <w:r w:rsidRPr="008E699D">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A julgar por esse valor, o resultado obtido pelo tratamento se mostrou eficiente, estando dentro do padrão para descarte em rede de esgoto. </w:t>
      </w:r>
    </w:p>
    <w:p w14:paraId="273C03CE" w14:textId="77777777" w:rsidR="00AB3E07" w:rsidRPr="005440CE" w:rsidRDefault="005440CE" w:rsidP="00FD7920">
      <w:pPr>
        <w:pStyle w:val="PargrafodaLista"/>
        <w:numPr>
          <w:ilvl w:val="0"/>
          <w:numId w:val="2"/>
        </w:numPr>
        <w:spacing w:after="0" w:line="360" w:lineRule="auto"/>
        <w:jc w:val="both"/>
        <w:rPr>
          <w:rFonts w:ascii="Times New Roman" w:hAnsi="Times New Roman"/>
          <w:b/>
          <w:smallCaps/>
          <w:sz w:val="24"/>
          <w:szCs w:val="24"/>
        </w:rPr>
      </w:pPr>
      <w:r w:rsidRPr="005440CE">
        <w:rPr>
          <w:rFonts w:ascii="Times New Roman" w:hAnsi="Times New Roman"/>
          <w:b/>
          <w:smallCaps/>
          <w:sz w:val="24"/>
          <w:szCs w:val="24"/>
        </w:rPr>
        <w:t>Conclusões</w:t>
      </w:r>
    </w:p>
    <w:p w14:paraId="446AC0FD" w14:textId="77777777" w:rsidR="00907963" w:rsidRDefault="00907963" w:rsidP="00E95B48">
      <w:pPr>
        <w:spacing w:after="0" w:line="360" w:lineRule="auto"/>
        <w:ind w:firstLine="708"/>
        <w:contextualSpacing/>
        <w:jc w:val="both"/>
        <w:rPr>
          <w:rFonts w:ascii="Times New Roman" w:eastAsia="Times New Roman" w:hAnsi="Times New Roman"/>
          <w:sz w:val="24"/>
          <w:szCs w:val="24"/>
        </w:rPr>
      </w:pPr>
      <w:r w:rsidRPr="008E699D">
        <w:rPr>
          <w:rFonts w:ascii="Times New Roman" w:eastAsia="Times New Roman" w:hAnsi="Times New Roman"/>
          <w:sz w:val="24"/>
          <w:szCs w:val="24"/>
        </w:rPr>
        <w:t xml:space="preserve">O método de eletrocoagulação se mostrou eficiente para separar os sólidos em suspensão do resíduo de fixador, com um consumo de energia baixo e um tempo de reação curto. </w:t>
      </w:r>
      <w:r w:rsidR="0057130E" w:rsidRPr="008E699D">
        <w:rPr>
          <w:rFonts w:ascii="Times New Roman" w:eastAsia="Times New Roman" w:hAnsi="Times New Roman"/>
          <w:sz w:val="24"/>
          <w:szCs w:val="24"/>
        </w:rPr>
        <w:t>O tratamento de eletrocoagulação empregado neste trabalho permitiu que</w:t>
      </w:r>
      <w:r w:rsidRPr="008E699D">
        <w:rPr>
          <w:rFonts w:ascii="Times New Roman" w:eastAsia="Times New Roman" w:hAnsi="Times New Roman"/>
          <w:sz w:val="24"/>
          <w:szCs w:val="24"/>
        </w:rPr>
        <w:t xml:space="preserve"> o</w:t>
      </w:r>
      <w:r w:rsidR="00E95B48" w:rsidRPr="008E699D">
        <w:rPr>
          <w:rFonts w:ascii="Times New Roman" w:eastAsia="Times New Roman" w:hAnsi="Times New Roman"/>
          <w:sz w:val="24"/>
          <w:szCs w:val="24"/>
        </w:rPr>
        <w:t xml:space="preserve"> resíduo </w:t>
      </w:r>
      <w:r w:rsidR="0057130E" w:rsidRPr="008E699D">
        <w:rPr>
          <w:rFonts w:ascii="Times New Roman" w:eastAsia="Times New Roman" w:hAnsi="Times New Roman"/>
          <w:sz w:val="24"/>
          <w:szCs w:val="24"/>
        </w:rPr>
        <w:t>se adequasse especificações</w:t>
      </w:r>
      <w:r w:rsidR="00E95B48" w:rsidRPr="008E699D">
        <w:rPr>
          <w:rFonts w:ascii="Times New Roman" w:eastAsia="Times New Roman" w:hAnsi="Times New Roman"/>
          <w:sz w:val="24"/>
          <w:szCs w:val="24"/>
        </w:rPr>
        <w:t xml:space="preserve"> de descarte permitidos pela CONAMA e pelo Ministério da Saúde</w:t>
      </w:r>
      <w:r w:rsidR="0057130E" w:rsidRPr="008E699D">
        <w:rPr>
          <w:rFonts w:ascii="Times New Roman" w:eastAsia="Times New Roman" w:hAnsi="Times New Roman"/>
          <w:sz w:val="24"/>
          <w:szCs w:val="24"/>
        </w:rPr>
        <w:t>.</w:t>
      </w:r>
      <w:r w:rsidR="00E95B48" w:rsidRPr="00E95B48">
        <w:rPr>
          <w:rFonts w:ascii="Times New Roman" w:eastAsia="Times New Roman" w:hAnsi="Times New Roman"/>
          <w:sz w:val="24"/>
          <w:szCs w:val="24"/>
        </w:rPr>
        <w:t xml:space="preserve"> </w:t>
      </w:r>
    </w:p>
    <w:p w14:paraId="4E7A8ADE" w14:textId="77777777" w:rsidR="00907963" w:rsidRPr="003665E3" w:rsidRDefault="00907963" w:rsidP="00FD7920">
      <w:pPr>
        <w:spacing w:after="0" w:line="360" w:lineRule="auto"/>
        <w:ind w:firstLine="708"/>
        <w:jc w:val="both"/>
        <w:rPr>
          <w:rFonts w:ascii="Times New Roman" w:hAnsi="Times New Roman"/>
          <w:sz w:val="24"/>
          <w:szCs w:val="24"/>
        </w:rPr>
      </w:pPr>
    </w:p>
    <w:p w14:paraId="4E2E4223" w14:textId="77777777" w:rsidR="00AB3E07" w:rsidRPr="005440CE" w:rsidRDefault="005440CE" w:rsidP="00FD7920">
      <w:pPr>
        <w:pStyle w:val="PargrafodaLista"/>
        <w:numPr>
          <w:ilvl w:val="0"/>
          <w:numId w:val="2"/>
        </w:numPr>
        <w:spacing w:after="0" w:line="360" w:lineRule="auto"/>
        <w:jc w:val="both"/>
        <w:rPr>
          <w:rFonts w:ascii="Times New Roman" w:hAnsi="Times New Roman"/>
          <w:b/>
          <w:smallCaps/>
          <w:sz w:val="24"/>
          <w:szCs w:val="24"/>
        </w:rPr>
      </w:pPr>
      <w:r w:rsidRPr="005440CE">
        <w:rPr>
          <w:rFonts w:ascii="Times New Roman" w:hAnsi="Times New Roman"/>
          <w:b/>
          <w:smallCaps/>
          <w:sz w:val="24"/>
          <w:szCs w:val="24"/>
        </w:rPr>
        <w:t>Referências Bibliográficas</w:t>
      </w:r>
    </w:p>
    <w:p w14:paraId="5FAC0A3C" w14:textId="77777777" w:rsidR="00A05F72" w:rsidRPr="005440CE" w:rsidRDefault="00A05F72" w:rsidP="008611CB">
      <w:pPr>
        <w:pStyle w:val="PargrafodaLista"/>
        <w:spacing w:after="0" w:line="240" w:lineRule="auto"/>
        <w:ind w:left="0"/>
        <w:jc w:val="both"/>
        <w:rPr>
          <w:rFonts w:ascii="Times New Roman" w:eastAsia="Times New Roman" w:hAnsi="Times New Roman"/>
          <w:color w:val="000000"/>
          <w:sz w:val="24"/>
          <w:szCs w:val="24"/>
          <w:lang w:eastAsia="pt-BR"/>
        </w:rPr>
      </w:pPr>
    </w:p>
    <w:p w14:paraId="289391A5" w14:textId="77777777" w:rsidR="00157469" w:rsidRPr="00A153D0" w:rsidRDefault="00157469" w:rsidP="00157469">
      <w:pPr>
        <w:rPr>
          <w:lang w:val="en-GB" w:eastAsia="pt-BR"/>
        </w:rPr>
      </w:pPr>
      <w:r w:rsidRPr="00062D22">
        <w:rPr>
          <w:rFonts w:ascii="Times New Roman" w:hAnsi="Times New Roman"/>
          <w:sz w:val="24"/>
          <w:szCs w:val="24"/>
          <w:lang w:val="en-US"/>
        </w:rPr>
        <w:t>AOUNI, A.; FERSI, C.; SIK, A. B. M.; DHABI, M. Treatment of textile wastewater by a hybrid electrocoagulation/nanofiltration process</w:t>
      </w:r>
      <w:r w:rsidRPr="00062D22">
        <w:rPr>
          <w:rFonts w:ascii="Times New Roman" w:hAnsi="Times New Roman"/>
          <w:b/>
          <w:bCs/>
          <w:sz w:val="24"/>
          <w:szCs w:val="24"/>
          <w:lang w:val="en-US"/>
        </w:rPr>
        <w:t xml:space="preserve">. </w:t>
      </w:r>
      <w:r w:rsidRPr="00AA3DBB">
        <w:rPr>
          <w:rFonts w:ascii="Times New Roman" w:hAnsi="Times New Roman"/>
          <w:b/>
          <w:bCs/>
          <w:sz w:val="24"/>
          <w:szCs w:val="24"/>
          <w:lang w:val="en-US"/>
        </w:rPr>
        <w:t>Journal of Hazardous Materials</w:t>
      </w:r>
      <w:r w:rsidRPr="00AA3DBB">
        <w:rPr>
          <w:rFonts w:ascii="Times New Roman" w:hAnsi="Times New Roman"/>
          <w:sz w:val="24"/>
          <w:szCs w:val="24"/>
          <w:lang w:val="en-US"/>
        </w:rPr>
        <w:t>, v.168, p. 868-874, 2009</w:t>
      </w:r>
    </w:p>
    <w:p w14:paraId="568E22A8" w14:textId="77777777" w:rsidR="00157469" w:rsidRDefault="00157469" w:rsidP="00157469">
      <w:pPr>
        <w:jc w:val="both"/>
        <w:rPr>
          <w:rFonts w:ascii="Times New Roman" w:hAnsi="Times New Roman"/>
          <w:sz w:val="24"/>
          <w:szCs w:val="24"/>
        </w:rPr>
      </w:pPr>
      <w:r w:rsidRPr="009E5DC7">
        <w:rPr>
          <w:rFonts w:ascii="Times New Roman" w:hAnsi="Times New Roman"/>
          <w:sz w:val="24"/>
          <w:szCs w:val="24"/>
        </w:rPr>
        <w:t xml:space="preserve">Associação Brasileira de Normas Técnicas – </w:t>
      </w:r>
      <w:r w:rsidRPr="009E5DC7">
        <w:rPr>
          <w:rFonts w:ascii="Times New Roman" w:hAnsi="Times New Roman"/>
          <w:b/>
          <w:bCs/>
          <w:sz w:val="24"/>
          <w:szCs w:val="24"/>
        </w:rPr>
        <w:t>ABNT NBR 13969/97</w:t>
      </w:r>
      <w:r w:rsidRPr="009E5DC7">
        <w:rPr>
          <w:rFonts w:ascii="Times New Roman" w:hAnsi="Times New Roman"/>
          <w:sz w:val="24"/>
          <w:szCs w:val="24"/>
        </w:rPr>
        <w:t xml:space="preserve"> - Tanques sépticos - Unidades de tratamento complementar e disposição final dos efluentes líquidos - Projeto, construção e operação. Brasil. 1997</w:t>
      </w:r>
    </w:p>
    <w:p w14:paraId="0570D9A8" w14:textId="73FD46B2" w:rsidR="00157469" w:rsidRDefault="00157469" w:rsidP="00157469">
      <w:pPr>
        <w:jc w:val="both"/>
        <w:rPr>
          <w:rFonts w:ascii="Times New Roman" w:eastAsia="Times New Roman" w:hAnsi="Times New Roman"/>
          <w:color w:val="000000"/>
          <w:lang w:eastAsia="pt-BR"/>
        </w:rPr>
      </w:pPr>
      <w:bookmarkStart w:id="4" w:name="_GoBack"/>
      <w:bookmarkEnd w:id="4"/>
      <w:r w:rsidRPr="00312429">
        <w:rPr>
          <w:rFonts w:ascii="Times New Roman" w:eastAsia="Times New Roman" w:hAnsi="Times New Roman"/>
          <w:color w:val="000000"/>
          <w:lang w:eastAsia="pt-BR"/>
        </w:rPr>
        <w:t xml:space="preserve">BALBINOT, E. Eletrocoagulação no tratamento de efluentes da filetagem de pescado . 2015. 172 f. </w:t>
      </w:r>
      <w:r w:rsidRPr="00312429">
        <w:rPr>
          <w:rFonts w:ascii="Times New Roman" w:eastAsia="Times New Roman" w:hAnsi="Times New Roman"/>
          <w:b/>
          <w:bCs/>
          <w:color w:val="000000"/>
          <w:lang w:eastAsia="pt-BR"/>
        </w:rPr>
        <w:t>Dissertação (Mestrado em Ciência dos Alimentos)- Centro de Ciências Agrárias, Universidade Federal de Santa Catarina</w:t>
      </w:r>
      <w:r w:rsidRPr="00312429">
        <w:rPr>
          <w:rFonts w:ascii="Times New Roman" w:eastAsia="Times New Roman" w:hAnsi="Times New Roman"/>
          <w:color w:val="000000"/>
          <w:lang w:eastAsia="pt-BR"/>
        </w:rPr>
        <w:t>, Florianopolis, 2015. Disponível em: &lt;https://repositorio.ufsc.br/handle/123456789/158901&gt;. Acesso em: 29 set. 2018.</w:t>
      </w:r>
    </w:p>
    <w:p w14:paraId="555ABA60" w14:textId="77777777" w:rsidR="00157469" w:rsidRDefault="00157469" w:rsidP="00157469">
      <w:pPr>
        <w:pStyle w:val="Ttulo3"/>
        <w:shd w:val="clear" w:color="auto" w:fill="FFFFFF"/>
        <w:spacing w:after="160"/>
        <w:jc w:val="both"/>
        <w:rPr>
          <w:rFonts w:ascii="Times New Roman" w:eastAsia="Times New Roman" w:hAnsi="Times New Roman"/>
          <w:color w:val="000000"/>
          <w:lang w:eastAsia="pt-BR"/>
        </w:rPr>
      </w:pPr>
      <w:r w:rsidRPr="00BC4892">
        <w:rPr>
          <w:rFonts w:ascii="Times New Roman" w:eastAsia="Times New Roman" w:hAnsi="Times New Roman"/>
          <w:color w:val="000000"/>
          <w:lang w:eastAsia="pt-BR"/>
        </w:rPr>
        <w:t>BORTOLETTO</w:t>
      </w:r>
      <w:r>
        <w:rPr>
          <w:rFonts w:ascii="Times New Roman" w:eastAsia="Times New Roman" w:hAnsi="Times New Roman"/>
          <w:color w:val="000000"/>
          <w:lang w:eastAsia="pt-BR"/>
        </w:rPr>
        <w:t>, E.C.;</w:t>
      </w:r>
      <w:r w:rsidRPr="00BC4892">
        <w:rPr>
          <w:rFonts w:ascii="Times New Roman" w:eastAsia="Times New Roman" w:hAnsi="Times New Roman"/>
          <w:color w:val="000000"/>
          <w:lang w:eastAsia="pt-BR"/>
        </w:rPr>
        <w:t xml:space="preserve"> IGARASHI-MAFRA,</w:t>
      </w:r>
      <w:r>
        <w:rPr>
          <w:rFonts w:ascii="Times New Roman" w:eastAsia="Times New Roman" w:hAnsi="Times New Roman"/>
          <w:color w:val="000000"/>
          <w:lang w:eastAsia="pt-BR"/>
        </w:rPr>
        <w:t xml:space="preserve"> L.;</w:t>
      </w:r>
      <w:r w:rsidRPr="00BC4892">
        <w:rPr>
          <w:rFonts w:ascii="Times New Roman" w:eastAsia="Times New Roman" w:hAnsi="Times New Roman"/>
          <w:color w:val="000000"/>
          <w:lang w:eastAsia="pt-BR"/>
        </w:rPr>
        <w:t xml:space="preserve"> SORBO, </w:t>
      </w:r>
      <w:r>
        <w:rPr>
          <w:rFonts w:ascii="Times New Roman" w:eastAsia="Times New Roman" w:hAnsi="Times New Roman"/>
          <w:color w:val="000000"/>
          <w:lang w:eastAsia="pt-BR"/>
        </w:rPr>
        <w:t xml:space="preserve">A.C.A.C.; </w:t>
      </w:r>
      <w:r w:rsidRPr="00BC4892">
        <w:rPr>
          <w:rFonts w:ascii="Times New Roman" w:eastAsia="Times New Roman" w:hAnsi="Times New Roman"/>
          <w:color w:val="000000"/>
          <w:lang w:eastAsia="pt-BR"/>
        </w:rPr>
        <w:t xml:space="preserve">GALLIANI, </w:t>
      </w:r>
      <w:r>
        <w:rPr>
          <w:rFonts w:ascii="Times New Roman" w:eastAsia="Times New Roman" w:hAnsi="Times New Roman"/>
          <w:color w:val="000000"/>
          <w:lang w:eastAsia="pt-BR"/>
        </w:rPr>
        <w:t>N.A.;</w:t>
      </w:r>
      <w:r w:rsidRPr="00BC4892">
        <w:rPr>
          <w:rFonts w:ascii="Times New Roman" w:eastAsia="Times New Roman" w:hAnsi="Times New Roman"/>
          <w:color w:val="000000"/>
          <w:lang w:eastAsia="pt-BR"/>
        </w:rPr>
        <w:t>BARROS</w:t>
      </w:r>
      <w:r>
        <w:rPr>
          <w:rFonts w:ascii="Times New Roman" w:eastAsia="Times New Roman" w:hAnsi="Times New Roman"/>
          <w:color w:val="000000"/>
          <w:lang w:eastAsia="pt-BR"/>
        </w:rPr>
        <w:t>, M.A.S.D.;</w:t>
      </w:r>
      <w:r w:rsidRPr="00BC4892">
        <w:rPr>
          <w:rFonts w:ascii="Times New Roman" w:eastAsia="Times New Roman" w:hAnsi="Times New Roman"/>
          <w:color w:val="000000"/>
          <w:lang w:eastAsia="pt-BR"/>
        </w:rPr>
        <w:t>TAVARES</w:t>
      </w:r>
      <w:r>
        <w:rPr>
          <w:rFonts w:ascii="Times New Roman" w:eastAsia="Times New Roman" w:hAnsi="Times New Roman"/>
          <w:color w:val="000000"/>
          <w:lang w:eastAsia="pt-BR"/>
        </w:rPr>
        <w:t xml:space="preserve">, C.R.G. </w:t>
      </w:r>
      <w:r w:rsidRPr="001526DD">
        <w:rPr>
          <w:rFonts w:ascii="Times New Roman" w:eastAsia="Times New Roman" w:hAnsi="Times New Roman"/>
          <w:color w:val="000000"/>
          <w:lang w:eastAsia="pt-BR"/>
        </w:rPr>
        <w:t xml:space="preserve">Remoção da prata em efluentes radiográficos. </w:t>
      </w:r>
      <w:r w:rsidRPr="001526DD">
        <w:rPr>
          <w:rFonts w:ascii="Times New Roman" w:eastAsia="Times New Roman" w:hAnsi="Times New Roman"/>
          <w:b/>
          <w:bCs/>
          <w:color w:val="000000"/>
          <w:lang w:eastAsia="pt-BR"/>
        </w:rPr>
        <w:t>Acta Scientiarum. Technology</w:t>
      </w:r>
      <w:r w:rsidRPr="001526DD">
        <w:rPr>
          <w:rFonts w:ascii="Times New Roman" w:eastAsia="Times New Roman" w:hAnsi="Times New Roman"/>
          <w:color w:val="000000"/>
          <w:lang w:eastAsia="pt-BR"/>
        </w:rPr>
        <w:t>, Maringá, v. 29, n. 1, 2007, p 37-41</w:t>
      </w:r>
      <w:r>
        <w:rPr>
          <w:rFonts w:ascii="Times New Roman" w:eastAsia="Times New Roman" w:hAnsi="Times New Roman"/>
          <w:color w:val="000000"/>
          <w:lang w:eastAsia="pt-BR"/>
        </w:rPr>
        <w:t>.</w:t>
      </w:r>
    </w:p>
    <w:p w14:paraId="14ACE57F" w14:textId="77777777" w:rsidR="00157469" w:rsidRDefault="00157469" w:rsidP="00157469">
      <w:pPr>
        <w:pStyle w:val="Ttulo3"/>
        <w:shd w:val="clear" w:color="auto" w:fill="FFFFFF"/>
        <w:spacing w:after="160"/>
        <w:rPr>
          <w:rFonts w:ascii="Times New Roman" w:eastAsia="Times New Roman" w:hAnsi="Times New Roman"/>
          <w:color w:val="000000"/>
          <w:lang w:eastAsia="pt-BR"/>
        </w:rPr>
      </w:pPr>
      <w:r w:rsidRPr="00DC349D">
        <w:rPr>
          <w:rFonts w:ascii="Times New Roman" w:eastAsia="Times New Roman" w:hAnsi="Times New Roman"/>
          <w:color w:val="000000"/>
          <w:lang w:eastAsia="pt-BR"/>
        </w:rPr>
        <w:t>Brasil. Conselho Nacional Do Meio Ambiente (CONAMA).</w:t>
      </w:r>
      <w:r w:rsidRPr="00DC349D">
        <w:rPr>
          <w:rFonts w:ascii="Times New Roman" w:eastAsia="Times New Roman" w:hAnsi="Times New Roman"/>
          <w:b/>
          <w:bCs/>
          <w:color w:val="000000"/>
          <w:lang w:eastAsia="pt-BR"/>
        </w:rPr>
        <w:t xml:space="preserve"> RESOLUÇÃO CONAMA nº 358, de 29 de abril de 2005</w:t>
      </w:r>
      <w:r>
        <w:rPr>
          <w:rFonts w:ascii="Times New Roman" w:eastAsia="Times New Roman" w:hAnsi="Times New Roman"/>
          <w:b/>
          <w:bCs/>
          <w:color w:val="000000"/>
          <w:lang w:eastAsia="pt-BR"/>
        </w:rPr>
        <w:t xml:space="preserve">. </w:t>
      </w:r>
      <w:r w:rsidRPr="00DC349D">
        <w:rPr>
          <w:rFonts w:ascii="Times New Roman" w:eastAsia="Times New Roman" w:hAnsi="Times New Roman"/>
          <w:color w:val="000000"/>
          <w:lang w:eastAsia="pt-BR"/>
        </w:rPr>
        <w:t>Dispõe sobre o tratamento e a disposição final dos resíduos dos serviços de saúde e dá outras providências.</w:t>
      </w:r>
      <w:r w:rsidRPr="00DC349D">
        <w:rPr>
          <w:rFonts w:ascii="Times New Roman" w:eastAsia="Times New Roman" w:hAnsi="Times New Roman"/>
          <w:b/>
          <w:bCs/>
          <w:color w:val="000000"/>
          <w:lang w:eastAsia="pt-BR"/>
        </w:rPr>
        <w:t xml:space="preserve"> </w:t>
      </w:r>
      <w:r w:rsidRPr="00DC349D">
        <w:rPr>
          <w:rFonts w:ascii="Times New Roman" w:eastAsia="Times New Roman" w:hAnsi="Times New Roman"/>
          <w:color w:val="000000"/>
          <w:lang w:eastAsia="pt-BR"/>
        </w:rPr>
        <w:t>Brasília, DF: Diário Oficial da União,</w:t>
      </w:r>
      <w:r>
        <w:rPr>
          <w:rFonts w:ascii="Times New Roman" w:eastAsia="Times New Roman" w:hAnsi="Times New Roman"/>
          <w:color w:val="000000"/>
          <w:lang w:eastAsia="pt-BR"/>
        </w:rPr>
        <w:t xml:space="preserve"> DOU n 84</w:t>
      </w:r>
      <w:r w:rsidRPr="00DC349D">
        <w:rPr>
          <w:rFonts w:ascii="Times New Roman" w:eastAsia="Times New Roman" w:hAnsi="Times New Roman"/>
          <w:color w:val="000000"/>
          <w:lang w:eastAsia="pt-BR"/>
        </w:rPr>
        <w:t xml:space="preserve"> </w:t>
      </w:r>
      <w:r>
        <w:rPr>
          <w:rFonts w:ascii="Times New Roman" w:eastAsia="Times New Roman" w:hAnsi="Times New Roman"/>
          <w:color w:val="000000"/>
          <w:lang w:eastAsia="pt-BR"/>
        </w:rPr>
        <w:t>4 de maio de 2005, p 63-65.</w:t>
      </w:r>
    </w:p>
    <w:p w14:paraId="47ECECD6" w14:textId="77777777" w:rsidR="00157469" w:rsidRDefault="00157469" w:rsidP="00157469">
      <w:pPr>
        <w:pStyle w:val="Ttulo3"/>
        <w:shd w:val="clear" w:color="auto" w:fill="FFFFFF"/>
        <w:spacing w:after="160"/>
        <w:rPr>
          <w:rFonts w:ascii="Times New Roman" w:eastAsia="Times New Roman" w:hAnsi="Times New Roman"/>
          <w:color w:val="000000"/>
          <w:lang w:eastAsia="pt-BR"/>
        </w:rPr>
      </w:pPr>
      <w:r w:rsidRPr="00DC349D">
        <w:rPr>
          <w:rFonts w:ascii="Times New Roman" w:eastAsia="Times New Roman" w:hAnsi="Times New Roman"/>
          <w:color w:val="000000"/>
          <w:lang w:eastAsia="pt-BR"/>
        </w:rPr>
        <w:t>Brasil. Ministério da Saúde. Agência Nacional de Vigilância Sanitária</w:t>
      </w:r>
      <w:r>
        <w:rPr>
          <w:rFonts w:ascii="Times New Roman" w:eastAsia="Times New Roman" w:hAnsi="Times New Roman"/>
          <w:color w:val="000000"/>
          <w:lang w:eastAsia="pt-BR"/>
        </w:rPr>
        <w:t xml:space="preserve"> (ANVISA</w:t>
      </w:r>
      <w:r w:rsidRPr="00DC349D">
        <w:rPr>
          <w:rFonts w:ascii="Times New Roman" w:eastAsia="Times New Roman" w:hAnsi="Times New Roman"/>
          <w:b/>
          <w:bCs/>
          <w:color w:val="000000"/>
          <w:lang w:eastAsia="pt-BR"/>
        </w:rPr>
        <w:t>). Resolução RDC nº. 306, de 07 de dezembro de 2004</w:t>
      </w:r>
      <w:r w:rsidRPr="00DC349D">
        <w:rPr>
          <w:rFonts w:ascii="Times New Roman" w:eastAsia="Times New Roman" w:hAnsi="Times New Roman"/>
          <w:color w:val="000000"/>
          <w:lang w:eastAsia="pt-BR"/>
        </w:rPr>
        <w:t>. Dispõe sobre o Regulamento técnico para o gerenciamento de resíduos de serviços de saúde. Brasília, DF: Diário Oficial da União, 10 dez. 2004.</w:t>
      </w:r>
    </w:p>
    <w:p w14:paraId="6746B451" w14:textId="77777777" w:rsidR="00157469" w:rsidRDefault="00157469" w:rsidP="00157469">
      <w:pPr>
        <w:jc w:val="both"/>
        <w:rPr>
          <w:rFonts w:ascii="Times New Roman" w:hAnsi="Times New Roman"/>
          <w:sz w:val="24"/>
          <w:szCs w:val="24"/>
        </w:rPr>
      </w:pPr>
      <w:r w:rsidRPr="00BC12CC">
        <w:rPr>
          <w:rFonts w:ascii="Times New Roman" w:hAnsi="Times New Roman"/>
          <w:sz w:val="24"/>
          <w:szCs w:val="24"/>
        </w:rPr>
        <w:t xml:space="preserve">GOMES, L. M. Tratamento de efluente da piscicultura utilizando os processos fenton e eletroquímico: eficiência e toxicidade. 2016. 117 f. </w:t>
      </w:r>
      <w:r w:rsidRPr="00BC12CC">
        <w:rPr>
          <w:rFonts w:ascii="Times New Roman" w:hAnsi="Times New Roman"/>
          <w:b/>
          <w:bCs/>
          <w:sz w:val="24"/>
          <w:szCs w:val="24"/>
        </w:rPr>
        <w:t xml:space="preserve">Tese (Doutorado em Ciências) – Instituto </w:t>
      </w:r>
      <w:r w:rsidRPr="00BC12CC">
        <w:rPr>
          <w:rFonts w:ascii="Times New Roman" w:hAnsi="Times New Roman"/>
          <w:b/>
          <w:bCs/>
          <w:sz w:val="24"/>
          <w:szCs w:val="24"/>
        </w:rPr>
        <w:lastRenderedPageBreak/>
        <w:t>de Química e Biotecnologia, Programa de Pós Graduação em Química e Biotecnologia, Universidade Federal de Alagoas</w:t>
      </w:r>
      <w:r w:rsidRPr="00BC12CC">
        <w:rPr>
          <w:rFonts w:ascii="Times New Roman" w:hAnsi="Times New Roman"/>
          <w:sz w:val="24"/>
          <w:szCs w:val="24"/>
        </w:rPr>
        <w:t>, Maceió, 2016.</w:t>
      </w:r>
    </w:p>
    <w:p w14:paraId="1E807AD1" w14:textId="77777777" w:rsidR="00157469" w:rsidRPr="00913748" w:rsidRDefault="00157469" w:rsidP="00157469">
      <w:pPr>
        <w:pStyle w:val="Ttulo3"/>
        <w:shd w:val="clear" w:color="auto" w:fill="FFFFFF"/>
        <w:spacing w:after="160"/>
        <w:rPr>
          <w:rFonts w:ascii="Times New Roman" w:eastAsia="Times New Roman" w:hAnsi="Times New Roman"/>
          <w:color w:val="000000"/>
          <w:lang w:val="en-GB" w:eastAsia="pt-BR"/>
        </w:rPr>
      </w:pPr>
      <w:r w:rsidRPr="00913748">
        <w:rPr>
          <w:rFonts w:ascii="Times New Roman" w:eastAsia="Times New Roman" w:hAnsi="Times New Roman"/>
          <w:color w:val="000000"/>
          <w:lang w:eastAsia="pt-BR"/>
        </w:rPr>
        <w:t xml:space="preserve">GRIGOLETO, J. C.; SANTOS, C. B.; ALBERTINI, L. B.; TAKAYANAGUI, A.M.M.  </w:t>
      </w:r>
      <w:r w:rsidRPr="00913748">
        <w:rPr>
          <w:rFonts w:ascii="Times New Roman" w:eastAsia="Times New Roman" w:hAnsi="Times New Roman"/>
          <w:color w:val="000000"/>
          <w:lang w:val="en-GB" w:eastAsia="pt-BR"/>
        </w:rPr>
        <w:t>Radiographic processing effluents management status</w:t>
      </w:r>
      <w:r>
        <w:rPr>
          <w:rFonts w:ascii="Times New Roman" w:eastAsia="Times New Roman" w:hAnsi="Times New Roman"/>
          <w:color w:val="000000"/>
          <w:lang w:val="en-GB" w:eastAsia="pt-BR"/>
        </w:rPr>
        <w:t xml:space="preserve"> </w:t>
      </w:r>
      <w:r w:rsidRPr="00913748">
        <w:rPr>
          <w:rFonts w:ascii="Times New Roman" w:eastAsia="Times New Roman" w:hAnsi="Times New Roman"/>
          <w:color w:val="000000"/>
          <w:lang w:val="en-GB" w:eastAsia="pt-BR"/>
        </w:rPr>
        <w:t xml:space="preserve">in healthcare centers. </w:t>
      </w:r>
      <w:r w:rsidRPr="00913748">
        <w:rPr>
          <w:rFonts w:ascii="Times New Roman" w:eastAsia="Times New Roman" w:hAnsi="Times New Roman"/>
          <w:b/>
          <w:bCs/>
          <w:color w:val="000000"/>
          <w:lang w:val="en-GB" w:eastAsia="pt-BR"/>
        </w:rPr>
        <w:t>Radiologia Brasileira</w:t>
      </w:r>
      <w:r w:rsidRPr="00913748">
        <w:rPr>
          <w:rFonts w:ascii="Times New Roman" w:eastAsia="Times New Roman" w:hAnsi="Times New Roman"/>
          <w:color w:val="000000"/>
          <w:lang w:val="en-GB" w:eastAsia="pt-BR"/>
        </w:rPr>
        <w:t xml:space="preserve">, São Paulo, v. 44, n.5, </w:t>
      </w:r>
      <w:r>
        <w:rPr>
          <w:rFonts w:ascii="Times New Roman" w:eastAsia="Times New Roman" w:hAnsi="Times New Roman"/>
          <w:color w:val="000000"/>
          <w:lang w:val="en-GB" w:eastAsia="pt-BR"/>
        </w:rPr>
        <w:t xml:space="preserve">p. 301-307, </w:t>
      </w:r>
      <w:r w:rsidRPr="00913748">
        <w:rPr>
          <w:rFonts w:ascii="Times New Roman" w:eastAsia="Times New Roman" w:hAnsi="Times New Roman"/>
          <w:color w:val="000000"/>
          <w:lang w:val="en-GB" w:eastAsia="pt-BR"/>
        </w:rPr>
        <w:t>Set</w:t>
      </w:r>
      <w:r>
        <w:rPr>
          <w:rFonts w:ascii="Times New Roman" w:eastAsia="Times New Roman" w:hAnsi="Times New Roman"/>
          <w:color w:val="000000"/>
          <w:lang w:val="en-GB" w:eastAsia="pt-BR"/>
        </w:rPr>
        <w:t>.</w:t>
      </w:r>
      <w:r w:rsidRPr="00913748">
        <w:rPr>
          <w:rFonts w:ascii="Times New Roman" w:eastAsia="Times New Roman" w:hAnsi="Times New Roman"/>
          <w:color w:val="000000"/>
          <w:lang w:val="en-GB" w:eastAsia="pt-BR"/>
        </w:rPr>
        <w:t>/Out</w:t>
      </w:r>
      <w:r>
        <w:rPr>
          <w:rFonts w:ascii="Times New Roman" w:eastAsia="Times New Roman" w:hAnsi="Times New Roman"/>
          <w:color w:val="000000"/>
          <w:lang w:val="en-GB" w:eastAsia="pt-BR"/>
        </w:rPr>
        <w:t>.</w:t>
      </w:r>
      <w:r w:rsidRPr="00913748">
        <w:rPr>
          <w:rFonts w:ascii="Times New Roman" w:eastAsia="Times New Roman" w:hAnsi="Times New Roman"/>
          <w:color w:val="000000"/>
          <w:lang w:val="en-GB" w:eastAsia="pt-BR"/>
        </w:rPr>
        <w:t> 2011.</w:t>
      </w:r>
    </w:p>
    <w:p w14:paraId="41F47346" w14:textId="77777777" w:rsidR="00157469" w:rsidRPr="00106D5C" w:rsidRDefault="00157469" w:rsidP="00157469">
      <w:pPr>
        <w:rPr>
          <w:lang w:eastAsia="pt-BR"/>
        </w:rPr>
      </w:pPr>
      <w:r w:rsidRPr="00062D22">
        <w:rPr>
          <w:rFonts w:ascii="Times New Roman" w:hAnsi="Times New Roman"/>
          <w:sz w:val="24"/>
          <w:szCs w:val="24"/>
          <w:lang w:val="en-US"/>
        </w:rPr>
        <w:t xml:space="preserve">ONCEL, M. S., MUHCUA, A., DEMIRBS, B. E., KOYAA, M. A comparative study of chemical precipitation and electrocoagulation for treatment of coal acid drainage wastewater. </w:t>
      </w:r>
      <w:r w:rsidRPr="00106D5C">
        <w:rPr>
          <w:rFonts w:ascii="Times New Roman" w:hAnsi="Times New Roman"/>
          <w:b/>
          <w:bCs/>
          <w:sz w:val="24"/>
          <w:szCs w:val="24"/>
        </w:rPr>
        <w:t>Journal of Environmental Chemical Engineering</w:t>
      </w:r>
      <w:r w:rsidRPr="00106D5C">
        <w:rPr>
          <w:rFonts w:ascii="Times New Roman" w:hAnsi="Times New Roman"/>
          <w:i/>
          <w:iCs/>
          <w:sz w:val="24"/>
          <w:szCs w:val="24"/>
        </w:rPr>
        <w:t xml:space="preserve">, </w:t>
      </w:r>
      <w:r w:rsidRPr="00106D5C">
        <w:rPr>
          <w:rFonts w:ascii="Times New Roman" w:hAnsi="Times New Roman"/>
          <w:sz w:val="24"/>
          <w:szCs w:val="24"/>
        </w:rPr>
        <w:t>v. 1, p. 989-995, 2013</w:t>
      </w:r>
    </w:p>
    <w:p w14:paraId="59F72BFB" w14:textId="77777777" w:rsidR="00157469" w:rsidRDefault="00157469" w:rsidP="00157469">
      <w:pPr>
        <w:pStyle w:val="Ttulo3"/>
        <w:shd w:val="clear" w:color="auto" w:fill="FFFFFF"/>
        <w:spacing w:after="160"/>
        <w:rPr>
          <w:rFonts w:ascii="Times New Roman" w:eastAsia="Times New Roman" w:hAnsi="Times New Roman"/>
          <w:color w:val="000000"/>
          <w:lang w:val="en-GB" w:eastAsia="pt-BR"/>
        </w:rPr>
      </w:pPr>
      <w:r w:rsidRPr="00B26C5F">
        <w:rPr>
          <w:rFonts w:ascii="Times New Roman" w:eastAsia="Times New Roman" w:hAnsi="Times New Roman"/>
          <w:color w:val="000000"/>
          <w:lang w:eastAsia="pt-BR"/>
        </w:rPr>
        <w:t>RAMOS</w:t>
      </w:r>
      <w:r>
        <w:rPr>
          <w:rFonts w:ascii="Times New Roman" w:eastAsia="Times New Roman" w:hAnsi="Times New Roman"/>
          <w:color w:val="000000"/>
          <w:lang w:eastAsia="pt-BR"/>
        </w:rPr>
        <w:t>, J.C.;</w:t>
      </w:r>
      <w:r w:rsidRPr="00B26C5F">
        <w:rPr>
          <w:rFonts w:ascii="Times New Roman" w:eastAsia="Times New Roman" w:hAnsi="Times New Roman"/>
          <w:color w:val="000000"/>
          <w:lang w:eastAsia="pt-BR"/>
        </w:rPr>
        <w:t xml:space="preserve"> </w:t>
      </w:r>
      <w:r>
        <w:rPr>
          <w:rFonts w:ascii="Times New Roman" w:eastAsia="Times New Roman" w:hAnsi="Times New Roman"/>
          <w:color w:val="000000"/>
          <w:lang w:eastAsia="pt-BR"/>
        </w:rPr>
        <w:t>OLIVEIRA, D.H.M.; FILHO, L.F.S.; FIGUEIREDO, C. H. M. C.;</w:t>
      </w:r>
      <w:r w:rsidRPr="00B26C5F">
        <w:rPr>
          <w:rFonts w:ascii="Times New Roman" w:eastAsia="Times New Roman" w:hAnsi="Times New Roman"/>
          <w:color w:val="000000"/>
          <w:lang w:eastAsia="pt-BR"/>
        </w:rPr>
        <w:t xml:space="preserve"> </w:t>
      </w:r>
      <w:r>
        <w:rPr>
          <w:rFonts w:ascii="Times New Roman" w:eastAsia="Times New Roman" w:hAnsi="Times New Roman"/>
          <w:color w:val="000000"/>
          <w:lang w:eastAsia="pt-BR"/>
        </w:rPr>
        <w:t xml:space="preserve">ALMEIDA, M. S. C. </w:t>
      </w:r>
      <w:r w:rsidRPr="00B26C5F">
        <w:rPr>
          <w:rFonts w:ascii="Times New Roman" w:eastAsia="Times New Roman" w:hAnsi="Times New Roman"/>
          <w:color w:val="000000"/>
          <w:lang w:eastAsia="pt-BR"/>
        </w:rPr>
        <w:t xml:space="preserve">Gerenciamento de resíduos radiográficos odontológicos segundo a rdc 306/2004 da </w:t>
      </w:r>
      <w:r>
        <w:rPr>
          <w:rFonts w:ascii="Times New Roman" w:eastAsia="Times New Roman" w:hAnsi="Times New Roman"/>
          <w:color w:val="000000"/>
          <w:lang w:eastAsia="pt-BR"/>
        </w:rPr>
        <w:t xml:space="preserve">ANVISA. </w:t>
      </w:r>
      <w:r w:rsidRPr="00B26C5F">
        <w:rPr>
          <w:rFonts w:ascii="Times New Roman" w:eastAsia="Times New Roman" w:hAnsi="Times New Roman"/>
          <w:b/>
          <w:bCs/>
          <w:color w:val="000000"/>
          <w:lang w:val="en-GB" w:eastAsia="pt-BR"/>
        </w:rPr>
        <w:t>Brazilian Journal of Surgery and Clinical Research</w:t>
      </w:r>
      <w:r w:rsidRPr="00B26C5F">
        <w:rPr>
          <w:rFonts w:ascii="Times New Roman" w:eastAsia="Times New Roman" w:hAnsi="Times New Roman"/>
          <w:color w:val="000000"/>
          <w:lang w:val="en-GB" w:eastAsia="pt-BR"/>
        </w:rPr>
        <w:t>, Maringá, V.21,n.2,p.77-81</w:t>
      </w:r>
      <w:r>
        <w:rPr>
          <w:rFonts w:ascii="Times New Roman" w:eastAsia="Times New Roman" w:hAnsi="Times New Roman"/>
          <w:color w:val="000000"/>
          <w:lang w:val="en-GB" w:eastAsia="pt-BR"/>
        </w:rPr>
        <w:t xml:space="preserve">, </w:t>
      </w:r>
      <w:r w:rsidRPr="00B26C5F">
        <w:rPr>
          <w:rFonts w:ascii="Times New Roman" w:eastAsia="Times New Roman" w:hAnsi="Times New Roman"/>
          <w:color w:val="000000"/>
          <w:lang w:val="en-GB" w:eastAsia="pt-BR"/>
        </w:rPr>
        <w:t>Dez 2017 – Fev2018</w:t>
      </w:r>
      <w:r>
        <w:rPr>
          <w:rFonts w:ascii="Times New Roman" w:eastAsia="Times New Roman" w:hAnsi="Times New Roman"/>
          <w:color w:val="000000"/>
          <w:lang w:val="en-GB" w:eastAsia="pt-BR"/>
        </w:rPr>
        <w:t>.</w:t>
      </w:r>
    </w:p>
    <w:p w14:paraId="7A5F1712" w14:textId="77777777" w:rsidR="00157469" w:rsidRDefault="00157469" w:rsidP="00157469">
      <w:pPr>
        <w:jc w:val="both"/>
        <w:rPr>
          <w:rFonts w:ascii="Times New Roman" w:hAnsi="Times New Roman"/>
          <w:sz w:val="24"/>
          <w:szCs w:val="24"/>
          <w:lang w:val="en-GB"/>
        </w:rPr>
      </w:pPr>
      <w:r w:rsidRPr="00BA75E0">
        <w:rPr>
          <w:rFonts w:ascii="Times New Roman" w:hAnsi="Times New Roman"/>
          <w:sz w:val="24"/>
          <w:szCs w:val="24"/>
          <w:lang w:val="en-GB"/>
        </w:rPr>
        <w:t xml:space="preserve">Standard Methods: 2130 B:  Turbidity by Nephelometry. </w:t>
      </w:r>
      <w:r w:rsidRPr="00106D5C">
        <w:rPr>
          <w:rFonts w:ascii="Times New Roman" w:hAnsi="Times New Roman"/>
          <w:b/>
          <w:bCs/>
          <w:sz w:val="24"/>
          <w:szCs w:val="24"/>
          <w:lang w:val="en-GB"/>
        </w:rPr>
        <w:t>Standard Methods Online</w:t>
      </w:r>
      <w:r w:rsidRPr="00106D5C">
        <w:rPr>
          <w:rFonts w:ascii="Times New Roman" w:hAnsi="Times New Roman"/>
          <w:sz w:val="24"/>
          <w:szCs w:val="24"/>
          <w:lang w:val="en-GB"/>
        </w:rPr>
        <w:t xml:space="preserve"> - Standard Methods for the Examination of Water and Waste water. </w:t>
      </w:r>
      <w:hyperlink r:id="rId12" w:history="1">
        <w:r w:rsidRPr="00106D5C">
          <w:rPr>
            <w:rFonts w:ascii="Times New Roman" w:hAnsi="Times New Roman"/>
            <w:sz w:val="24"/>
            <w:szCs w:val="24"/>
            <w:lang w:val="en-GB"/>
          </w:rPr>
          <w:t>http://standardmethods.org/</w:t>
        </w:r>
      </w:hyperlink>
      <w:r w:rsidRPr="00106D5C">
        <w:rPr>
          <w:rFonts w:ascii="Times New Roman" w:hAnsi="Times New Roman"/>
          <w:sz w:val="24"/>
          <w:szCs w:val="24"/>
          <w:lang w:val="en-GB"/>
        </w:rPr>
        <w:t xml:space="preserve">. </w:t>
      </w:r>
      <w:r>
        <w:rPr>
          <w:rFonts w:ascii="Times New Roman" w:hAnsi="Times New Roman"/>
          <w:sz w:val="24"/>
          <w:szCs w:val="24"/>
          <w:lang w:val="en-GB"/>
        </w:rPr>
        <w:t>1995</w:t>
      </w:r>
    </w:p>
    <w:p w14:paraId="2D04F40B" w14:textId="77777777" w:rsidR="00157469" w:rsidRDefault="00157469" w:rsidP="00157469">
      <w:pPr>
        <w:jc w:val="both"/>
        <w:rPr>
          <w:rFonts w:ascii="Times New Roman" w:hAnsi="Times New Roman"/>
          <w:sz w:val="24"/>
          <w:szCs w:val="24"/>
          <w:lang w:val="en-GB"/>
        </w:rPr>
      </w:pPr>
      <w:r w:rsidRPr="00BA75E0">
        <w:rPr>
          <w:rFonts w:ascii="Times New Roman" w:hAnsi="Times New Roman"/>
          <w:sz w:val="24"/>
          <w:szCs w:val="24"/>
          <w:lang w:val="en-GB"/>
        </w:rPr>
        <w:t xml:space="preserve">Standard Methods: </w:t>
      </w:r>
      <w:r>
        <w:rPr>
          <w:rFonts w:ascii="Times New Roman" w:hAnsi="Times New Roman"/>
          <w:sz w:val="24"/>
          <w:szCs w:val="24"/>
          <w:lang w:val="en-GB"/>
        </w:rPr>
        <w:t>2340 B</w:t>
      </w:r>
      <w:r w:rsidRPr="00BA75E0">
        <w:rPr>
          <w:rFonts w:ascii="Times New Roman" w:hAnsi="Times New Roman"/>
          <w:sz w:val="24"/>
          <w:szCs w:val="24"/>
          <w:lang w:val="en-GB"/>
        </w:rPr>
        <w:t xml:space="preserve"> - Hardness in Water by EDTA Titration. </w:t>
      </w:r>
      <w:r w:rsidRPr="00106D5C">
        <w:rPr>
          <w:rFonts w:ascii="Times New Roman" w:hAnsi="Times New Roman"/>
          <w:b/>
          <w:bCs/>
          <w:sz w:val="24"/>
          <w:szCs w:val="24"/>
          <w:lang w:val="en-GB"/>
        </w:rPr>
        <w:t>Standard Methods Online</w:t>
      </w:r>
      <w:r w:rsidRPr="00106D5C">
        <w:rPr>
          <w:rFonts w:ascii="Times New Roman" w:hAnsi="Times New Roman"/>
          <w:sz w:val="24"/>
          <w:szCs w:val="24"/>
          <w:lang w:val="en-GB"/>
        </w:rPr>
        <w:t xml:space="preserve"> - Standard Methods for the Examination of Water and Waste water. </w:t>
      </w:r>
      <w:hyperlink r:id="rId13" w:history="1">
        <w:r w:rsidRPr="00106D5C">
          <w:rPr>
            <w:rFonts w:ascii="Times New Roman" w:hAnsi="Times New Roman"/>
            <w:sz w:val="24"/>
            <w:szCs w:val="24"/>
            <w:lang w:val="en-GB"/>
          </w:rPr>
          <w:t>http://standardmethods.org/</w:t>
        </w:r>
      </w:hyperlink>
      <w:r w:rsidRPr="00106D5C">
        <w:rPr>
          <w:rFonts w:ascii="Times New Roman" w:hAnsi="Times New Roman"/>
          <w:sz w:val="24"/>
          <w:szCs w:val="24"/>
          <w:lang w:val="en-GB"/>
        </w:rPr>
        <w:t xml:space="preserve">. </w:t>
      </w:r>
      <w:r>
        <w:rPr>
          <w:rFonts w:ascii="Times New Roman" w:hAnsi="Times New Roman"/>
          <w:sz w:val="24"/>
          <w:szCs w:val="24"/>
          <w:lang w:val="en-GB"/>
        </w:rPr>
        <w:t>2017</w:t>
      </w:r>
    </w:p>
    <w:p w14:paraId="3213100E" w14:textId="77777777" w:rsidR="00157469" w:rsidRDefault="00157469" w:rsidP="00157469">
      <w:pPr>
        <w:jc w:val="both"/>
        <w:rPr>
          <w:rFonts w:ascii="Times New Roman" w:hAnsi="Times New Roman"/>
          <w:sz w:val="24"/>
          <w:szCs w:val="24"/>
          <w:lang w:val="en-GB"/>
        </w:rPr>
      </w:pPr>
      <w:r w:rsidRPr="00BA75E0">
        <w:rPr>
          <w:rFonts w:ascii="Times New Roman" w:hAnsi="Times New Roman"/>
          <w:sz w:val="24"/>
          <w:szCs w:val="24"/>
          <w:lang w:val="en-GB"/>
        </w:rPr>
        <w:t xml:space="preserve">Standard Methods: 2540 B:  Total Solids Dried at 103-105oC. </w:t>
      </w:r>
      <w:r w:rsidRPr="00106D5C">
        <w:rPr>
          <w:rFonts w:ascii="Times New Roman" w:hAnsi="Times New Roman"/>
          <w:b/>
          <w:bCs/>
          <w:sz w:val="24"/>
          <w:szCs w:val="24"/>
          <w:lang w:val="en-GB"/>
        </w:rPr>
        <w:t>Standard Methods Online</w:t>
      </w:r>
      <w:r w:rsidRPr="00106D5C">
        <w:rPr>
          <w:rFonts w:ascii="Times New Roman" w:hAnsi="Times New Roman"/>
          <w:sz w:val="24"/>
          <w:szCs w:val="24"/>
          <w:lang w:val="en-GB"/>
        </w:rPr>
        <w:t xml:space="preserve"> - Standard Methods for the Examination of Water and Waste water. </w:t>
      </w:r>
      <w:hyperlink r:id="rId14" w:history="1">
        <w:r w:rsidRPr="00106D5C">
          <w:rPr>
            <w:rFonts w:ascii="Times New Roman" w:hAnsi="Times New Roman"/>
            <w:sz w:val="24"/>
            <w:szCs w:val="24"/>
            <w:lang w:val="en-GB"/>
          </w:rPr>
          <w:t>http://standardmethods.org/</w:t>
        </w:r>
      </w:hyperlink>
      <w:r w:rsidRPr="00106D5C">
        <w:rPr>
          <w:rFonts w:ascii="Times New Roman" w:hAnsi="Times New Roman"/>
          <w:sz w:val="24"/>
          <w:szCs w:val="24"/>
          <w:lang w:val="en-GB"/>
        </w:rPr>
        <w:t xml:space="preserve">. </w:t>
      </w:r>
      <w:r w:rsidRPr="00BA75E0">
        <w:rPr>
          <w:rFonts w:ascii="Times New Roman" w:hAnsi="Times New Roman"/>
          <w:sz w:val="24"/>
          <w:szCs w:val="24"/>
          <w:lang w:val="en-GB"/>
        </w:rPr>
        <w:t>2017</w:t>
      </w:r>
    </w:p>
    <w:p w14:paraId="205BBC8F" w14:textId="77777777" w:rsidR="00157469" w:rsidRDefault="00157469" w:rsidP="00157469">
      <w:pPr>
        <w:jc w:val="both"/>
        <w:rPr>
          <w:rFonts w:ascii="Times New Roman" w:hAnsi="Times New Roman"/>
          <w:sz w:val="24"/>
          <w:szCs w:val="24"/>
          <w:lang w:val="en-GB"/>
        </w:rPr>
      </w:pPr>
      <w:r w:rsidRPr="00BA75E0">
        <w:rPr>
          <w:rFonts w:ascii="Times New Roman" w:hAnsi="Times New Roman"/>
          <w:sz w:val="24"/>
          <w:szCs w:val="24"/>
          <w:lang w:val="en-GB"/>
        </w:rPr>
        <w:t>Standard Methods: 5220D</w:t>
      </w:r>
      <w:r w:rsidRPr="00BA75E0">
        <w:rPr>
          <w:rFonts w:ascii="Times New Roman" w:hAnsi="Times New Roman"/>
          <w:sz w:val="24"/>
          <w:szCs w:val="24"/>
          <w:lang w:val="en-GB"/>
        </w:rPr>
        <w:t xml:space="preserve"> -</w:t>
      </w:r>
      <w:r w:rsidRPr="00BA75E0">
        <w:rPr>
          <w:rFonts w:ascii="Times New Roman" w:hAnsi="Times New Roman"/>
          <w:sz w:val="24"/>
          <w:szCs w:val="24"/>
          <w:lang w:val="en-GB"/>
        </w:rPr>
        <w:t> Chemical Oxygen Demand</w:t>
      </w:r>
      <w:r w:rsidRPr="00BA75E0">
        <w:rPr>
          <w:rFonts w:ascii="Times New Roman" w:hAnsi="Times New Roman"/>
          <w:sz w:val="24"/>
          <w:szCs w:val="24"/>
          <w:lang w:val="en-GB"/>
        </w:rPr>
        <w:t xml:space="preserve">. </w:t>
      </w:r>
      <w:r w:rsidRPr="00106D5C">
        <w:rPr>
          <w:rFonts w:ascii="Times New Roman" w:hAnsi="Times New Roman"/>
          <w:b/>
          <w:bCs/>
          <w:sz w:val="24"/>
          <w:szCs w:val="24"/>
          <w:lang w:val="en-GB"/>
        </w:rPr>
        <w:t>Standard Methods Online</w:t>
      </w:r>
      <w:r w:rsidRPr="00106D5C">
        <w:rPr>
          <w:rFonts w:ascii="Times New Roman" w:hAnsi="Times New Roman"/>
          <w:sz w:val="24"/>
          <w:szCs w:val="24"/>
          <w:lang w:val="en-GB"/>
        </w:rPr>
        <w:t xml:space="preserve"> - Standard Methods for the Examination of Water and Waste</w:t>
      </w:r>
      <w:r w:rsidRPr="00106D5C">
        <w:rPr>
          <w:rFonts w:ascii="Times New Roman" w:hAnsi="Times New Roman"/>
          <w:sz w:val="24"/>
          <w:szCs w:val="24"/>
          <w:lang w:val="en-GB"/>
        </w:rPr>
        <w:t xml:space="preserve"> </w:t>
      </w:r>
      <w:r w:rsidRPr="00106D5C">
        <w:rPr>
          <w:rFonts w:ascii="Times New Roman" w:hAnsi="Times New Roman"/>
          <w:sz w:val="24"/>
          <w:szCs w:val="24"/>
          <w:lang w:val="en-GB"/>
        </w:rPr>
        <w:t xml:space="preserve">water. </w:t>
      </w:r>
      <w:hyperlink r:id="rId15" w:history="1">
        <w:r w:rsidRPr="00106D5C">
          <w:rPr>
            <w:rFonts w:ascii="Times New Roman" w:hAnsi="Times New Roman"/>
            <w:sz w:val="24"/>
            <w:szCs w:val="24"/>
            <w:lang w:val="en-GB"/>
          </w:rPr>
          <w:t>http://standardmethods.org/</w:t>
        </w:r>
      </w:hyperlink>
      <w:r w:rsidRPr="00106D5C">
        <w:rPr>
          <w:rFonts w:ascii="Times New Roman" w:hAnsi="Times New Roman"/>
          <w:sz w:val="24"/>
          <w:szCs w:val="24"/>
          <w:lang w:val="en-GB"/>
        </w:rPr>
        <w:t>. 2017</w:t>
      </w:r>
    </w:p>
    <w:p w14:paraId="7A5D7AC2" w14:textId="77777777" w:rsidR="00157469" w:rsidRPr="009E5DC7" w:rsidRDefault="00157469" w:rsidP="00157469">
      <w:pPr>
        <w:rPr>
          <w:rFonts w:ascii="Times New Roman" w:hAnsi="Times New Roman"/>
          <w:sz w:val="24"/>
          <w:szCs w:val="24"/>
        </w:rPr>
      </w:pPr>
      <w:r w:rsidRPr="00225F64">
        <w:rPr>
          <w:rFonts w:ascii="Times New Roman" w:hAnsi="Times New Roman"/>
          <w:sz w:val="24"/>
          <w:szCs w:val="24"/>
        </w:rPr>
        <w:t xml:space="preserve">TONETTI, A. L., CORAUCCI FILHO, B., STEFANUTTI, R., FIGUEIREDO, R. F. DE, &amp; SÃO PEDRO, C. C. O. Remoção de matéria orgânica, coliformes totais e nitrificação no tratamento de esgotos domésticos por filtros de areia. </w:t>
      </w:r>
      <w:r w:rsidRPr="009E5DC7">
        <w:rPr>
          <w:rFonts w:ascii="Times New Roman" w:hAnsi="Times New Roman"/>
          <w:b/>
          <w:bCs/>
          <w:sz w:val="24"/>
          <w:szCs w:val="24"/>
        </w:rPr>
        <w:t>Engenharia Sanit</w:t>
      </w:r>
      <w:r>
        <w:rPr>
          <w:rFonts w:ascii="Times New Roman" w:hAnsi="Times New Roman"/>
          <w:b/>
          <w:bCs/>
          <w:sz w:val="24"/>
          <w:szCs w:val="24"/>
        </w:rPr>
        <w:t>á</w:t>
      </w:r>
      <w:r w:rsidRPr="009E5DC7">
        <w:rPr>
          <w:rFonts w:ascii="Times New Roman" w:hAnsi="Times New Roman"/>
          <w:b/>
          <w:bCs/>
          <w:sz w:val="24"/>
          <w:szCs w:val="24"/>
        </w:rPr>
        <w:t>ria e Ambiental</w:t>
      </w:r>
      <w:r w:rsidRPr="00225F64">
        <w:rPr>
          <w:rFonts w:ascii="Times New Roman" w:hAnsi="Times New Roman"/>
          <w:sz w:val="24"/>
          <w:szCs w:val="24"/>
        </w:rPr>
        <w:t xml:space="preserve">, </w:t>
      </w:r>
      <w:r>
        <w:rPr>
          <w:rFonts w:ascii="Times New Roman" w:hAnsi="Times New Roman"/>
          <w:sz w:val="24"/>
          <w:szCs w:val="24"/>
        </w:rPr>
        <w:t xml:space="preserve">Rio de Janeiro, v </w:t>
      </w:r>
      <w:r w:rsidRPr="00225F64">
        <w:rPr>
          <w:rFonts w:ascii="Times New Roman" w:hAnsi="Times New Roman"/>
          <w:sz w:val="24"/>
          <w:szCs w:val="24"/>
        </w:rPr>
        <w:t>10</w:t>
      </w:r>
      <w:r>
        <w:rPr>
          <w:rFonts w:ascii="Times New Roman" w:hAnsi="Times New Roman"/>
          <w:sz w:val="24"/>
          <w:szCs w:val="24"/>
        </w:rPr>
        <w:t xml:space="preserve">, n </w:t>
      </w:r>
      <w:r w:rsidRPr="00225F64">
        <w:rPr>
          <w:rFonts w:ascii="Times New Roman" w:hAnsi="Times New Roman"/>
          <w:sz w:val="24"/>
          <w:szCs w:val="24"/>
        </w:rPr>
        <w:t>3,</w:t>
      </w:r>
      <w:r>
        <w:rPr>
          <w:rFonts w:ascii="Times New Roman" w:hAnsi="Times New Roman"/>
          <w:sz w:val="24"/>
          <w:szCs w:val="24"/>
        </w:rPr>
        <w:t xml:space="preserve"> </w:t>
      </w:r>
      <w:r w:rsidRPr="00225F64">
        <w:rPr>
          <w:rFonts w:ascii="Times New Roman" w:hAnsi="Times New Roman"/>
          <w:sz w:val="24"/>
          <w:szCs w:val="24"/>
        </w:rPr>
        <w:t>2005</w:t>
      </w:r>
      <w:r>
        <w:rPr>
          <w:rFonts w:ascii="Times New Roman" w:hAnsi="Times New Roman"/>
          <w:sz w:val="24"/>
          <w:szCs w:val="24"/>
        </w:rPr>
        <w:t>, p</w:t>
      </w:r>
      <w:r w:rsidRPr="00225F64">
        <w:rPr>
          <w:rFonts w:ascii="Times New Roman" w:hAnsi="Times New Roman"/>
          <w:sz w:val="24"/>
          <w:szCs w:val="24"/>
        </w:rPr>
        <w:t xml:space="preserve"> 209–218</w:t>
      </w:r>
      <w:r>
        <w:rPr>
          <w:rFonts w:ascii="Times New Roman" w:hAnsi="Times New Roman"/>
          <w:sz w:val="24"/>
          <w:szCs w:val="24"/>
        </w:rPr>
        <w:t>.</w:t>
      </w:r>
    </w:p>
    <w:p w14:paraId="3607C081" w14:textId="6270DDC4" w:rsidR="00BA75E0" w:rsidRDefault="00BA75E0" w:rsidP="00BA75E0">
      <w:pPr>
        <w:jc w:val="both"/>
        <w:rPr>
          <w:rFonts w:ascii="Times New Roman" w:hAnsi="Times New Roman"/>
          <w:sz w:val="24"/>
          <w:szCs w:val="24"/>
          <w:lang w:val="en-GB"/>
        </w:rPr>
      </w:pPr>
    </w:p>
    <w:p w14:paraId="1EF89E4B" w14:textId="77777777" w:rsidR="00BA75E0" w:rsidRDefault="00BA75E0" w:rsidP="00BA75E0">
      <w:pPr>
        <w:jc w:val="both"/>
        <w:rPr>
          <w:rFonts w:ascii="Times New Roman" w:hAnsi="Times New Roman"/>
          <w:sz w:val="24"/>
          <w:szCs w:val="24"/>
          <w:lang w:val="en-GB"/>
        </w:rPr>
      </w:pPr>
    </w:p>
    <w:p w14:paraId="4A2FD33C" w14:textId="27C790B2" w:rsidR="00BA75E0" w:rsidRDefault="00BA75E0" w:rsidP="00BA75E0">
      <w:pPr>
        <w:jc w:val="both"/>
        <w:rPr>
          <w:rFonts w:ascii="Times New Roman" w:hAnsi="Times New Roman"/>
          <w:sz w:val="24"/>
          <w:szCs w:val="24"/>
          <w:lang w:val="en-GB"/>
        </w:rPr>
      </w:pPr>
    </w:p>
    <w:p w14:paraId="2E06C5B8" w14:textId="54DC0181" w:rsidR="00BA75E0" w:rsidRDefault="00BA75E0" w:rsidP="00BA75E0">
      <w:pPr>
        <w:jc w:val="both"/>
        <w:rPr>
          <w:rFonts w:ascii="Times New Roman" w:hAnsi="Times New Roman"/>
          <w:sz w:val="24"/>
          <w:szCs w:val="24"/>
          <w:lang w:val="en-GB"/>
        </w:rPr>
      </w:pPr>
    </w:p>
    <w:p w14:paraId="17328DA7" w14:textId="73395B84" w:rsidR="00BA75E0" w:rsidRPr="00BA75E0" w:rsidRDefault="00BA75E0" w:rsidP="00BA75E0">
      <w:pPr>
        <w:jc w:val="both"/>
        <w:rPr>
          <w:rFonts w:ascii="Times New Roman" w:hAnsi="Times New Roman"/>
          <w:sz w:val="24"/>
          <w:szCs w:val="24"/>
          <w:lang w:val="en-GB"/>
        </w:rPr>
      </w:pPr>
    </w:p>
    <w:sectPr w:rsidR="00BA75E0" w:rsidRPr="00BA75E0" w:rsidSect="00B11C86">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9602D" w14:textId="77777777" w:rsidR="00B53BB1" w:rsidRDefault="00B53BB1" w:rsidP="00705016">
      <w:pPr>
        <w:spacing w:after="0" w:line="240" w:lineRule="auto"/>
      </w:pPr>
      <w:r>
        <w:separator/>
      </w:r>
    </w:p>
  </w:endnote>
  <w:endnote w:type="continuationSeparator" w:id="0">
    <w:p w14:paraId="0C6C0C1C" w14:textId="77777777" w:rsidR="00B53BB1" w:rsidRDefault="00B53BB1" w:rsidP="0070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Aldine401B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5E3ED" w14:textId="77777777" w:rsidR="00B53BB1" w:rsidRDefault="00B53BB1" w:rsidP="00705016">
      <w:pPr>
        <w:spacing w:after="0" w:line="240" w:lineRule="auto"/>
      </w:pPr>
      <w:r>
        <w:separator/>
      </w:r>
    </w:p>
  </w:footnote>
  <w:footnote w:type="continuationSeparator" w:id="0">
    <w:p w14:paraId="13B40E19" w14:textId="77777777" w:rsidR="00B53BB1" w:rsidRDefault="00B53BB1" w:rsidP="00705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731"/>
    <w:multiLevelType w:val="hybridMultilevel"/>
    <w:tmpl w:val="9416BA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EF80E03"/>
    <w:multiLevelType w:val="multilevel"/>
    <w:tmpl w:val="3880D1E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6D23253"/>
    <w:multiLevelType w:val="hybridMultilevel"/>
    <w:tmpl w:val="3E70AE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42"/>
    <w:rsid w:val="00000EB2"/>
    <w:rsid w:val="000010A5"/>
    <w:rsid w:val="000022EC"/>
    <w:rsid w:val="000044A4"/>
    <w:rsid w:val="0001199F"/>
    <w:rsid w:val="00021B40"/>
    <w:rsid w:val="00062EBB"/>
    <w:rsid w:val="00065A31"/>
    <w:rsid w:val="00073DBC"/>
    <w:rsid w:val="00094B00"/>
    <w:rsid w:val="000A2361"/>
    <w:rsid w:val="000B3B92"/>
    <w:rsid w:val="000B6448"/>
    <w:rsid w:val="000B76FB"/>
    <w:rsid w:val="000C13DF"/>
    <w:rsid w:val="000C1C54"/>
    <w:rsid w:val="000C3C77"/>
    <w:rsid w:val="000F0674"/>
    <w:rsid w:val="000F50F8"/>
    <w:rsid w:val="00106D5C"/>
    <w:rsid w:val="00120053"/>
    <w:rsid w:val="00120158"/>
    <w:rsid w:val="001526DD"/>
    <w:rsid w:val="00157469"/>
    <w:rsid w:val="00161683"/>
    <w:rsid w:val="00162133"/>
    <w:rsid w:val="00163C22"/>
    <w:rsid w:val="00165B09"/>
    <w:rsid w:val="001750ED"/>
    <w:rsid w:val="0019687B"/>
    <w:rsid w:val="001A1D12"/>
    <w:rsid w:val="001A25B8"/>
    <w:rsid w:val="001C160C"/>
    <w:rsid w:val="001E1969"/>
    <w:rsid w:val="001E1B67"/>
    <w:rsid w:val="001E4C53"/>
    <w:rsid w:val="001F112C"/>
    <w:rsid w:val="001F2475"/>
    <w:rsid w:val="00201F5A"/>
    <w:rsid w:val="0020672E"/>
    <w:rsid w:val="002111B7"/>
    <w:rsid w:val="00222818"/>
    <w:rsid w:val="00225F64"/>
    <w:rsid w:val="00230B71"/>
    <w:rsid w:val="002504DB"/>
    <w:rsid w:val="002542F7"/>
    <w:rsid w:val="00264235"/>
    <w:rsid w:val="002766E2"/>
    <w:rsid w:val="00282D49"/>
    <w:rsid w:val="0028740D"/>
    <w:rsid w:val="00297AF8"/>
    <w:rsid w:val="002B6767"/>
    <w:rsid w:val="002B6DE7"/>
    <w:rsid w:val="002E6CC5"/>
    <w:rsid w:val="002F2BEE"/>
    <w:rsid w:val="00312429"/>
    <w:rsid w:val="00312FB3"/>
    <w:rsid w:val="00313F4B"/>
    <w:rsid w:val="0032694F"/>
    <w:rsid w:val="0033603D"/>
    <w:rsid w:val="00341A23"/>
    <w:rsid w:val="003454E2"/>
    <w:rsid w:val="00363B2F"/>
    <w:rsid w:val="003645C5"/>
    <w:rsid w:val="003665E3"/>
    <w:rsid w:val="003752E5"/>
    <w:rsid w:val="00381B7A"/>
    <w:rsid w:val="003827E8"/>
    <w:rsid w:val="00385E7D"/>
    <w:rsid w:val="003D1EE3"/>
    <w:rsid w:val="003E0378"/>
    <w:rsid w:val="00401A54"/>
    <w:rsid w:val="00410A09"/>
    <w:rsid w:val="00420AC9"/>
    <w:rsid w:val="00426F3A"/>
    <w:rsid w:val="004303A9"/>
    <w:rsid w:val="0044304A"/>
    <w:rsid w:val="00456A7A"/>
    <w:rsid w:val="00492674"/>
    <w:rsid w:val="004934EB"/>
    <w:rsid w:val="004A3564"/>
    <w:rsid w:val="004A40EF"/>
    <w:rsid w:val="004B3F3C"/>
    <w:rsid w:val="004D0083"/>
    <w:rsid w:val="004D087A"/>
    <w:rsid w:val="004D54FA"/>
    <w:rsid w:val="004E155E"/>
    <w:rsid w:val="004F3876"/>
    <w:rsid w:val="00501FFD"/>
    <w:rsid w:val="0051245E"/>
    <w:rsid w:val="00521DBD"/>
    <w:rsid w:val="00527039"/>
    <w:rsid w:val="005431CB"/>
    <w:rsid w:val="005440CE"/>
    <w:rsid w:val="00561162"/>
    <w:rsid w:val="0057130E"/>
    <w:rsid w:val="00574C7E"/>
    <w:rsid w:val="00585064"/>
    <w:rsid w:val="00587EFB"/>
    <w:rsid w:val="00594D2F"/>
    <w:rsid w:val="0059562A"/>
    <w:rsid w:val="005972C6"/>
    <w:rsid w:val="005A7A37"/>
    <w:rsid w:val="005B40E9"/>
    <w:rsid w:val="005B6820"/>
    <w:rsid w:val="005C0D41"/>
    <w:rsid w:val="005C5B3E"/>
    <w:rsid w:val="005C7FA1"/>
    <w:rsid w:val="005E29E6"/>
    <w:rsid w:val="005E45FD"/>
    <w:rsid w:val="00606400"/>
    <w:rsid w:val="006108A5"/>
    <w:rsid w:val="00622EDB"/>
    <w:rsid w:val="00625DB3"/>
    <w:rsid w:val="00627E02"/>
    <w:rsid w:val="00635BED"/>
    <w:rsid w:val="00635F82"/>
    <w:rsid w:val="006368D9"/>
    <w:rsid w:val="00640F83"/>
    <w:rsid w:val="0064661D"/>
    <w:rsid w:val="00660C52"/>
    <w:rsid w:val="006644B9"/>
    <w:rsid w:val="0067112D"/>
    <w:rsid w:val="006712E5"/>
    <w:rsid w:val="00686C4E"/>
    <w:rsid w:val="006D736E"/>
    <w:rsid w:val="006F137F"/>
    <w:rsid w:val="00702998"/>
    <w:rsid w:val="00705016"/>
    <w:rsid w:val="00707EB7"/>
    <w:rsid w:val="00716083"/>
    <w:rsid w:val="00737872"/>
    <w:rsid w:val="00744B86"/>
    <w:rsid w:val="00747209"/>
    <w:rsid w:val="00754FF6"/>
    <w:rsid w:val="00756265"/>
    <w:rsid w:val="00762EB9"/>
    <w:rsid w:val="00771C7A"/>
    <w:rsid w:val="007729E6"/>
    <w:rsid w:val="00777A43"/>
    <w:rsid w:val="007823CD"/>
    <w:rsid w:val="007846AD"/>
    <w:rsid w:val="007849C4"/>
    <w:rsid w:val="007A1858"/>
    <w:rsid w:val="007B6A32"/>
    <w:rsid w:val="007D20D2"/>
    <w:rsid w:val="007D3938"/>
    <w:rsid w:val="008044CF"/>
    <w:rsid w:val="00812AB1"/>
    <w:rsid w:val="008210A1"/>
    <w:rsid w:val="0082751C"/>
    <w:rsid w:val="00831C3C"/>
    <w:rsid w:val="00844929"/>
    <w:rsid w:val="00844D59"/>
    <w:rsid w:val="00850C1C"/>
    <w:rsid w:val="008611CB"/>
    <w:rsid w:val="00861A78"/>
    <w:rsid w:val="00892231"/>
    <w:rsid w:val="008926BF"/>
    <w:rsid w:val="00897021"/>
    <w:rsid w:val="008A673D"/>
    <w:rsid w:val="008B1017"/>
    <w:rsid w:val="008B454A"/>
    <w:rsid w:val="008B574A"/>
    <w:rsid w:val="008D1194"/>
    <w:rsid w:val="008D12B5"/>
    <w:rsid w:val="008E699D"/>
    <w:rsid w:val="008F5C31"/>
    <w:rsid w:val="00907963"/>
    <w:rsid w:val="00913748"/>
    <w:rsid w:val="00924F0F"/>
    <w:rsid w:val="009426F9"/>
    <w:rsid w:val="00955A6A"/>
    <w:rsid w:val="00966D52"/>
    <w:rsid w:val="00976F95"/>
    <w:rsid w:val="00992370"/>
    <w:rsid w:val="0099298A"/>
    <w:rsid w:val="009A542E"/>
    <w:rsid w:val="009B3C40"/>
    <w:rsid w:val="009B54FE"/>
    <w:rsid w:val="009B6A0A"/>
    <w:rsid w:val="009E5DC7"/>
    <w:rsid w:val="009F1743"/>
    <w:rsid w:val="009F7E12"/>
    <w:rsid w:val="00A029D4"/>
    <w:rsid w:val="00A056EE"/>
    <w:rsid w:val="00A05F72"/>
    <w:rsid w:val="00A110D4"/>
    <w:rsid w:val="00A1264F"/>
    <w:rsid w:val="00A153D0"/>
    <w:rsid w:val="00A25C9D"/>
    <w:rsid w:val="00A27DA1"/>
    <w:rsid w:val="00A360C4"/>
    <w:rsid w:val="00A41421"/>
    <w:rsid w:val="00A42E66"/>
    <w:rsid w:val="00A50019"/>
    <w:rsid w:val="00A5458C"/>
    <w:rsid w:val="00A67162"/>
    <w:rsid w:val="00A85468"/>
    <w:rsid w:val="00A87056"/>
    <w:rsid w:val="00AA24B6"/>
    <w:rsid w:val="00AA318A"/>
    <w:rsid w:val="00AA532D"/>
    <w:rsid w:val="00AA6E2E"/>
    <w:rsid w:val="00AB3E07"/>
    <w:rsid w:val="00AB5ACB"/>
    <w:rsid w:val="00AC5362"/>
    <w:rsid w:val="00AF78C9"/>
    <w:rsid w:val="00B012EB"/>
    <w:rsid w:val="00B04479"/>
    <w:rsid w:val="00B07497"/>
    <w:rsid w:val="00B11C86"/>
    <w:rsid w:val="00B13B16"/>
    <w:rsid w:val="00B14166"/>
    <w:rsid w:val="00B22E83"/>
    <w:rsid w:val="00B231E0"/>
    <w:rsid w:val="00B26C5F"/>
    <w:rsid w:val="00B3340A"/>
    <w:rsid w:val="00B374CB"/>
    <w:rsid w:val="00B4679B"/>
    <w:rsid w:val="00B500FF"/>
    <w:rsid w:val="00B532FB"/>
    <w:rsid w:val="00B53BB1"/>
    <w:rsid w:val="00B6386A"/>
    <w:rsid w:val="00B65B0A"/>
    <w:rsid w:val="00B82538"/>
    <w:rsid w:val="00BA75E0"/>
    <w:rsid w:val="00BB4F42"/>
    <w:rsid w:val="00BC12CC"/>
    <w:rsid w:val="00BC34FA"/>
    <w:rsid w:val="00BC4892"/>
    <w:rsid w:val="00BE4C4A"/>
    <w:rsid w:val="00BE58E0"/>
    <w:rsid w:val="00C0045D"/>
    <w:rsid w:val="00C10823"/>
    <w:rsid w:val="00C14CBD"/>
    <w:rsid w:val="00C249A7"/>
    <w:rsid w:val="00C27B83"/>
    <w:rsid w:val="00C36734"/>
    <w:rsid w:val="00C4402C"/>
    <w:rsid w:val="00C52C65"/>
    <w:rsid w:val="00C53319"/>
    <w:rsid w:val="00C556DF"/>
    <w:rsid w:val="00C670CD"/>
    <w:rsid w:val="00C76AC9"/>
    <w:rsid w:val="00C77C77"/>
    <w:rsid w:val="00C96FBF"/>
    <w:rsid w:val="00CA1C1D"/>
    <w:rsid w:val="00CC2741"/>
    <w:rsid w:val="00CC696F"/>
    <w:rsid w:val="00CE3573"/>
    <w:rsid w:val="00D06248"/>
    <w:rsid w:val="00D10766"/>
    <w:rsid w:val="00D14666"/>
    <w:rsid w:val="00D55E0C"/>
    <w:rsid w:val="00D65099"/>
    <w:rsid w:val="00D74E3B"/>
    <w:rsid w:val="00D77BF9"/>
    <w:rsid w:val="00D879DC"/>
    <w:rsid w:val="00D92079"/>
    <w:rsid w:val="00D92316"/>
    <w:rsid w:val="00D938A0"/>
    <w:rsid w:val="00D94296"/>
    <w:rsid w:val="00D95655"/>
    <w:rsid w:val="00D9616E"/>
    <w:rsid w:val="00DA7DB9"/>
    <w:rsid w:val="00DB29BE"/>
    <w:rsid w:val="00DC349D"/>
    <w:rsid w:val="00DC49AC"/>
    <w:rsid w:val="00DD72CD"/>
    <w:rsid w:val="00DF22D1"/>
    <w:rsid w:val="00E037E9"/>
    <w:rsid w:val="00E23337"/>
    <w:rsid w:val="00E267F6"/>
    <w:rsid w:val="00E26E12"/>
    <w:rsid w:val="00E40C23"/>
    <w:rsid w:val="00E4165A"/>
    <w:rsid w:val="00E51584"/>
    <w:rsid w:val="00E61B3D"/>
    <w:rsid w:val="00E67B5A"/>
    <w:rsid w:val="00E8071E"/>
    <w:rsid w:val="00E84473"/>
    <w:rsid w:val="00E927A0"/>
    <w:rsid w:val="00E95B48"/>
    <w:rsid w:val="00EA1A5B"/>
    <w:rsid w:val="00EA3011"/>
    <w:rsid w:val="00EC40AF"/>
    <w:rsid w:val="00ED5067"/>
    <w:rsid w:val="00ED69A4"/>
    <w:rsid w:val="00EF67C9"/>
    <w:rsid w:val="00EF694C"/>
    <w:rsid w:val="00F038C0"/>
    <w:rsid w:val="00F2539B"/>
    <w:rsid w:val="00F42199"/>
    <w:rsid w:val="00F42628"/>
    <w:rsid w:val="00F47642"/>
    <w:rsid w:val="00F533C0"/>
    <w:rsid w:val="00F561CA"/>
    <w:rsid w:val="00F62623"/>
    <w:rsid w:val="00F62658"/>
    <w:rsid w:val="00F70580"/>
    <w:rsid w:val="00F90682"/>
    <w:rsid w:val="00F956F9"/>
    <w:rsid w:val="00FA1CEB"/>
    <w:rsid w:val="00FA310C"/>
    <w:rsid w:val="00FA7AB7"/>
    <w:rsid w:val="00FC15EC"/>
    <w:rsid w:val="00FD487F"/>
    <w:rsid w:val="00FD54D8"/>
    <w:rsid w:val="00FD7920"/>
    <w:rsid w:val="00FE3704"/>
    <w:rsid w:val="00FF1F3B"/>
    <w:rsid w:val="00FF5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6E36A"/>
  <w15:chartTrackingRefBased/>
  <w15:docId w15:val="{2545436E-4D4B-4BD6-BD21-A6F969DC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BB4F42"/>
    <w:pPr>
      <w:keepNext/>
      <w:keepLines/>
      <w:spacing w:before="240" w:after="0"/>
      <w:outlineLvl w:val="0"/>
    </w:pPr>
    <w:rPr>
      <w:rFonts w:ascii="Calibri Light" w:eastAsia="Times New Roman" w:hAnsi="Calibri Light"/>
      <w:color w:val="2E74B5"/>
      <w:sz w:val="32"/>
      <w:szCs w:val="32"/>
    </w:rPr>
  </w:style>
  <w:style w:type="paragraph" w:styleId="Ttulo3">
    <w:name w:val="heading 3"/>
    <w:basedOn w:val="Normal"/>
    <w:next w:val="Normal"/>
    <w:link w:val="Ttulo3Char"/>
    <w:uiPriority w:val="9"/>
    <w:semiHidden/>
    <w:unhideWhenUsed/>
    <w:qFormat/>
    <w:rsid w:val="009137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pertitle">
    <w:name w:val="paper title"/>
    <w:basedOn w:val="Ttulo1"/>
    <w:rsid w:val="00BB4F42"/>
    <w:pPr>
      <w:keepLines w:val="0"/>
      <w:spacing w:before="0" w:line="240" w:lineRule="auto"/>
      <w:jc w:val="center"/>
      <w:outlineLvl w:val="9"/>
    </w:pPr>
    <w:rPr>
      <w:rFonts w:ascii="Arial" w:eastAsia="MS Mincho" w:hAnsi="Arial"/>
      <w:b/>
      <w:caps/>
      <w:color w:val="0000FF"/>
      <w:kern w:val="28"/>
      <w:sz w:val="36"/>
      <w:szCs w:val="20"/>
      <w:lang w:val="en-US"/>
    </w:rPr>
  </w:style>
  <w:style w:type="character" w:customStyle="1" w:styleId="Ttulo1Char">
    <w:name w:val="Título 1 Char"/>
    <w:link w:val="Ttulo1"/>
    <w:uiPriority w:val="9"/>
    <w:rsid w:val="00BB4F42"/>
    <w:rPr>
      <w:rFonts w:ascii="Calibri Light" w:eastAsia="Times New Roman" w:hAnsi="Calibri Light" w:cs="Times New Roman"/>
      <w:color w:val="2E74B5"/>
      <w:sz w:val="32"/>
      <w:szCs w:val="32"/>
    </w:rPr>
  </w:style>
  <w:style w:type="paragraph" w:customStyle="1" w:styleId="authors">
    <w:name w:val="authors"/>
    <w:basedOn w:val="Normal"/>
    <w:rsid w:val="00BB4F42"/>
    <w:pPr>
      <w:spacing w:after="0" w:line="240" w:lineRule="auto"/>
      <w:jc w:val="center"/>
    </w:pPr>
    <w:rPr>
      <w:rFonts w:ascii="Times New Roman" w:eastAsia="MS Mincho" w:hAnsi="Times New Roman"/>
      <w:b/>
      <w:color w:val="FF0000"/>
      <w:sz w:val="24"/>
      <w:szCs w:val="20"/>
      <w:lang w:val="en-US"/>
    </w:rPr>
  </w:style>
  <w:style w:type="paragraph" w:styleId="Textodebalo">
    <w:name w:val="Balloon Text"/>
    <w:basedOn w:val="Normal"/>
    <w:link w:val="TextodebaloChar"/>
    <w:uiPriority w:val="99"/>
    <w:semiHidden/>
    <w:unhideWhenUsed/>
    <w:rsid w:val="00312FB3"/>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312FB3"/>
    <w:rPr>
      <w:rFonts w:ascii="Segoe UI" w:hAnsi="Segoe UI" w:cs="Segoe UI"/>
      <w:sz w:val="18"/>
      <w:szCs w:val="18"/>
    </w:rPr>
  </w:style>
  <w:style w:type="paragraph" w:styleId="PargrafodaLista">
    <w:name w:val="List Paragraph"/>
    <w:basedOn w:val="Normal"/>
    <w:uiPriority w:val="34"/>
    <w:qFormat/>
    <w:rsid w:val="00312FB3"/>
    <w:pPr>
      <w:ind w:left="720"/>
      <w:contextualSpacing/>
    </w:pPr>
  </w:style>
  <w:style w:type="character" w:styleId="Refdecomentrio">
    <w:name w:val="annotation reference"/>
    <w:uiPriority w:val="99"/>
    <w:semiHidden/>
    <w:unhideWhenUsed/>
    <w:rsid w:val="00341A23"/>
    <w:rPr>
      <w:sz w:val="16"/>
      <w:szCs w:val="16"/>
    </w:rPr>
  </w:style>
  <w:style w:type="paragraph" w:styleId="Textodecomentrio">
    <w:name w:val="annotation text"/>
    <w:basedOn w:val="Normal"/>
    <w:link w:val="TextodecomentrioChar"/>
    <w:uiPriority w:val="99"/>
    <w:semiHidden/>
    <w:unhideWhenUsed/>
    <w:rsid w:val="00341A23"/>
    <w:pPr>
      <w:spacing w:line="240" w:lineRule="auto"/>
    </w:pPr>
    <w:rPr>
      <w:sz w:val="20"/>
      <w:szCs w:val="20"/>
    </w:rPr>
  </w:style>
  <w:style w:type="character" w:customStyle="1" w:styleId="TextodecomentrioChar">
    <w:name w:val="Texto de comentário Char"/>
    <w:link w:val="Textodecomentrio"/>
    <w:uiPriority w:val="99"/>
    <w:semiHidden/>
    <w:rsid w:val="00341A23"/>
    <w:rPr>
      <w:sz w:val="20"/>
      <w:szCs w:val="20"/>
    </w:rPr>
  </w:style>
  <w:style w:type="paragraph" w:styleId="Assuntodocomentrio">
    <w:name w:val="annotation subject"/>
    <w:basedOn w:val="Textodecomentrio"/>
    <w:next w:val="Textodecomentrio"/>
    <w:link w:val="AssuntodocomentrioChar"/>
    <w:uiPriority w:val="99"/>
    <w:semiHidden/>
    <w:unhideWhenUsed/>
    <w:rsid w:val="00341A23"/>
    <w:rPr>
      <w:b/>
      <w:bCs/>
    </w:rPr>
  </w:style>
  <w:style w:type="character" w:customStyle="1" w:styleId="AssuntodocomentrioChar">
    <w:name w:val="Assunto do comentário Char"/>
    <w:link w:val="Assuntodocomentrio"/>
    <w:uiPriority w:val="99"/>
    <w:semiHidden/>
    <w:rsid w:val="00341A23"/>
    <w:rPr>
      <w:b/>
      <w:bCs/>
      <w:sz w:val="20"/>
      <w:szCs w:val="20"/>
    </w:rPr>
  </w:style>
  <w:style w:type="paragraph" w:styleId="Corpodetexto">
    <w:name w:val="Body Text"/>
    <w:basedOn w:val="Normal"/>
    <w:link w:val="CorpodetextoChar"/>
    <w:rsid w:val="001E4C53"/>
    <w:pPr>
      <w:spacing w:after="120" w:line="360" w:lineRule="auto"/>
      <w:ind w:firstLine="567"/>
      <w:jc w:val="both"/>
    </w:pPr>
    <w:rPr>
      <w:rFonts w:ascii="Times New Roman" w:eastAsia="Times New Roman" w:hAnsi="Times New Roman" w:cs="Tahoma"/>
      <w:sz w:val="24"/>
      <w:szCs w:val="17"/>
      <w:lang w:eastAsia="pt-BR"/>
    </w:rPr>
  </w:style>
  <w:style w:type="character" w:customStyle="1" w:styleId="CorpodetextoChar">
    <w:name w:val="Corpo de texto Char"/>
    <w:link w:val="Corpodetexto"/>
    <w:rsid w:val="001E4C53"/>
    <w:rPr>
      <w:rFonts w:ascii="Times New Roman" w:eastAsia="Times New Roman" w:hAnsi="Times New Roman" w:cs="Tahoma"/>
      <w:sz w:val="24"/>
      <w:szCs w:val="17"/>
      <w:lang w:eastAsia="pt-BR"/>
    </w:rPr>
  </w:style>
  <w:style w:type="character" w:styleId="Hyperlink">
    <w:name w:val="Hyperlink"/>
    <w:rsid w:val="00705016"/>
    <w:rPr>
      <w:color w:val="0000FF"/>
      <w:u w:val="single"/>
    </w:rPr>
  </w:style>
  <w:style w:type="paragraph" w:styleId="Pr-formataoHTML">
    <w:name w:val="HTML Preformatted"/>
    <w:basedOn w:val="Normal"/>
    <w:link w:val="Pr-formataoHTMLChar"/>
    <w:uiPriority w:val="99"/>
    <w:unhideWhenUsed/>
    <w:rsid w:val="0070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705016"/>
    <w:rPr>
      <w:rFonts w:ascii="Courier New" w:eastAsia="Times New Roman" w:hAnsi="Courier New" w:cs="Courier New"/>
      <w:sz w:val="20"/>
      <w:szCs w:val="20"/>
      <w:lang w:eastAsia="pt-BR"/>
    </w:rPr>
  </w:style>
  <w:style w:type="paragraph" w:styleId="Textodenotadefim">
    <w:name w:val="endnote text"/>
    <w:basedOn w:val="Normal"/>
    <w:link w:val="TextodenotadefimChar"/>
    <w:rsid w:val="00705016"/>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link w:val="Textodenotadefim"/>
    <w:rsid w:val="00705016"/>
    <w:rPr>
      <w:rFonts w:ascii="Times New Roman" w:eastAsia="Times New Roman" w:hAnsi="Times New Roman" w:cs="Times New Roman"/>
      <w:sz w:val="20"/>
      <w:szCs w:val="20"/>
      <w:lang w:eastAsia="pt-BR"/>
    </w:rPr>
  </w:style>
  <w:style w:type="character" w:styleId="Refdenotadefim">
    <w:name w:val="endnote reference"/>
    <w:rsid w:val="00705016"/>
    <w:rPr>
      <w:vertAlign w:val="superscript"/>
    </w:rPr>
  </w:style>
  <w:style w:type="table" w:styleId="Tabelacomgrade">
    <w:name w:val="Table Grid"/>
    <w:basedOn w:val="Tabelanormal"/>
    <w:uiPriority w:val="39"/>
    <w:rsid w:val="007050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tulodoartigoidioma">
    <w:name w:val="01. título do artigo_idioma"/>
    <w:autoRedefine/>
    <w:qFormat/>
    <w:rsid w:val="00955A6A"/>
    <w:pPr>
      <w:spacing w:line="300" w:lineRule="exact"/>
    </w:pPr>
    <w:rPr>
      <w:rFonts w:ascii="Arial" w:eastAsia="MS Mincho" w:hAnsi="Arial"/>
      <w:b/>
      <w:sz w:val="26"/>
      <w:lang w:val="en-US" w:eastAsia="ja-JP"/>
    </w:rPr>
  </w:style>
  <w:style w:type="paragraph" w:customStyle="1" w:styleId="00textosementrada">
    <w:name w:val="00. texto sem entrada"/>
    <w:next w:val="Normal"/>
    <w:autoRedefine/>
    <w:qFormat/>
    <w:rsid w:val="00574C7E"/>
    <w:pPr>
      <w:widowControl w:val="0"/>
      <w:spacing w:after="60" w:line="240" w:lineRule="exact"/>
      <w:jc w:val="both"/>
    </w:pPr>
    <w:rPr>
      <w:rFonts w:ascii="Times New Roman" w:eastAsia="MS Mincho" w:hAnsi="Times New Roman"/>
      <w:lang w:eastAsia="ja-JP"/>
    </w:rPr>
  </w:style>
  <w:style w:type="paragraph" w:customStyle="1" w:styleId="01autor">
    <w:name w:val="01. autor"/>
    <w:autoRedefine/>
    <w:qFormat/>
    <w:rsid w:val="00AB3E07"/>
    <w:pPr>
      <w:jc w:val="right"/>
    </w:pPr>
    <w:rPr>
      <w:rFonts w:ascii="Times New Roman" w:eastAsia="MS Mincho" w:hAnsi="Times New Roman"/>
      <w:lang w:eastAsia="ja-JP"/>
    </w:rPr>
  </w:style>
  <w:style w:type="paragraph" w:customStyle="1" w:styleId="01informaesdoautor">
    <w:name w:val="01. informações do autor"/>
    <w:basedOn w:val="Normal"/>
    <w:autoRedefine/>
    <w:qFormat/>
    <w:rsid w:val="00955A6A"/>
    <w:pPr>
      <w:spacing w:before="560" w:after="0" w:line="240" w:lineRule="exact"/>
    </w:pPr>
    <w:rPr>
      <w:rFonts w:ascii="Times New Roman" w:eastAsia="MS Mincho" w:hAnsi="Times New Roman"/>
      <w:sz w:val="18"/>
      <w:szCs w:val="20"/>
      <w:lang w:eastAsia="ja-JP"/>
    </w:rPr>
  </w:style>
  <w:style w:type="paragraph" w:customStyle="1" w:styleId="02resumoabstracttexto">
    <w:name w:val="02. resumo/abstract_texto"/>
    <w:basedOn w:val="00textosementrada"/>
    <w:next w:val="00textosementrada"/>
    <w:autoRedefine/>
    <w:qFormat/>
    <w:rsid w:val="00955A6A"/>
  </w:style>
  <w:style w:type="paragraph" w:customStyle="1" w:styleId="02resumoabstractttulo">
    <w:name w:val="02. resumo/abstract_título"/>
    <w:autoRedefine/>
    <w:qFormat/>
    <w:rsid w:val="00955A6A"/>
    <w:pPr>
      <w:pBdr>
        <w:top w:val="single" w:sz="4" w:space="1" w:color="auto"/>
      </w:pBdr>
      <w:spacing w:before="300" w:after="60" w:line="240" w:lineRule="exact"/>
    </w:pPr>
    <w:rPr>
      <w:rFonts w:ascii="Arial" w:eastAsia="MS Mincho" w:hAnsi="Arial"/>
      <w:b/>
      <w:caps/>
      <w:sz w:val="18"/>
      <w:lang w:eastAsia="ja-JP"/>
    </w:rPr>
  </w:style>
  <w:style w:type="paragraph" w:styleId="Cabealho">
    <w:name w:val="header"/>
    <w:basedOn w:val="Normal"/>
    <w:link w:val="CabealhoChar"/>
    <w:uiPriority w:val="99"/>
    <w:unhideWhenUsed/>
    <w:rsid w:val="00955A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5A6A"/>
  </w:style>
  <w:style w:type="paragraph" w:styleId="Rodap">
    <w:name w:val="footer"/>
    <w:basedOn w:val="Normal"/>
    <w:link w:val="RodapChar"/>
    <w:uiPriority w:val="99"/>
    <w:unhideWhenUsed/>
    <w:rsid w:val="00955A6A"/>
    <w:pPr>
      <w:tabs>
        <w:tab w:val="center" w:pos="4252"/>
        <w:tab w:val="right" w:pos="8504"/>
      </w:tabs>
      <w:spacing w:after="0" w:line="240" w:lineRule="auto"/>
    </w:pPr>
  </w:style>
  <w:style w:type="character" w:customStyle="1" w:styleId="RodapChar">
    <w:name w:val="Rodapé Char"/>
    <w:basedOn w:val="Fontepargpadro"/>
    <w:link w:val="Rodap"/>
    <w:uiPriority w:val="99"/>
    <w:rsid w:val="00955A6A"/>
  </w:style>
  <w:style w:type="paragraph" w:customStyle="1" w:styleId="06rodap">
    <w:name w:val="06. rodapé"/>
    <w:autoRedefine/>
    <w:qFormat/>
    <w:rsid w:val="00955A6A"/>
    <w:pPr>
      <w:spacing w:line="240" w:lineRule="exact"/>
      <w:ind w:left="-108"/>
    </w:pPr>
    <w:rPr>
      <w:rFonts w:ascii="Times New Roman" w:eastAsia="MS Mincho" w:hAnsi="Times New Roman"/>
      <w:sz w:val="16"/>
      <w:szCs w:val="16"/>
    </w:rPr>
  </w:style>
  <w:style w:type="paragraph" w:customStyle="1" w:styleId="06retranca">
    <w:name w:val="06. retranca"/>
    <w:autoRedefine/>
    <w:qFormat/>
    <w:rsid w:val="00955A6A"/>
    <w:pPr>
      <w:spacing w:line="240" w:lineRule="exact"/>
      <w:jc w:val="right"/>
    </w:pPr>
    <w:rPr>
      <w:rFonts w:ascii="Times New Roman" w:eastAsia="MS Mincho" w:hAnsi="Times New Roman"/>
      <w:sz w:val="16"/>
      <w:szCs w:val="16"/>
    </w:rPr>
  </w:style>
  <w:style w:type="character" w:customStyle="1" w:styleId="Data1">
    <w:name w:val="Data1"/>
    <w:basedOn w:val="Fontepargpadro"/>
    <w:rsid w:val="00D14666"/>
  </w:style>
  <w:style w:type="character" w:customStyle="1" w:styleId="arttitle">
    <w:name w:val="art_title"/>
    <w:basedOn w:val="Fontepargpadro"/>
    <w:rsid w:val="00D14666"/>
  </w:style>
  <w:style w:type="character" w:customStyle="1" w:styleId="serialtitle">
    <w:name w:val="serial_title"/>
    <w:basedOn w:val="Fontepargpadro"/>
    <w:rsid w:val="00D14666"/>
  </w:style>
  <w:style w:type="character" w:customStyle="1" w:styleId="volumeissue">
    <w:name w:val="volume_issue"/>
    <w:basedOn w:val="Fontepargpadro"/>
    <w:rsid w:val="00D14666"/>
  </w:style>
  <w:style w:type="character" w:customStyle="1" w:styleId="pagerange">
    <w:name w:val="page_range"/>
    <w:basedOn w:val="Fontepargpadro"/>
    <w:rsid w:val="00D14666"/>
  </w:style>
  <w:style w:type="character" w:customStyle="1" w:styleId="MenoPendente1">
    <w:name w:val="Menção Pendente1"/>
    <w:uiPriority w:val="99"/>
    <w:semiHidden/>
    <w:unhideWhenUsed/>
    <w:rsid w:val="0067112D"/>
    <w:rPr>
      <w:color w:val="605E5C"/>
      <w:shd w:val="clear" w:color="auto" w:fill="E1DFDD"/>
    </w:rPr>
  </w:style>
  <w:style w:type="paragraph" w:customStyle="1" w:styleId="03tabelalegenda">
    <w:name w:val="03. tabela_legenda"/>
    <w:basedOn w:val="Normal"/>
    <w:autoRedefine/>
    <w:qFormat/>
    <w:rsid w:val="00AB3E07"/>
    <w:pPr>
      <w:spacing w:after="0" w:line="284" w:lineRule="exact"/>
      <w:jc w:val="both"/>
    </w:pPr>
    <w:rPr>
      <w:rFonts w:ascii="Times New Roman" w:eastAsia="MS Mincho" w:hAnsi="Times New Roman"/>
      <w:b/>
      <w:bCs/>
      <w:sz w:val="18"/>
      <w:szCs w:val="16"/>
      <w:lang w:eastAsia="ja-JP"/>
    </w:rPr>
  </w:style>
  <w:style w:type="paragraph" w:customStyle="1" w:styleId="Default">
    <w:name w:val="Default"/>
    <w:rsid w:val="00AB3E07"/>
    <w:pPr>
      <w:autoSpaceDE w:val="0"/>
      <w:autoSpaceDN w:val="0"/>
      <w:adjustRightInd w:val="0"/>
    </w:pPr>
    <w:rPr>
      <w:rFonts w:ascii="Arial" w:hAnsi="Arial" w:cs="Arial"/>
      <w:color w:val="000000"/>
      <w:sz w:val="24"/>
      <w:szCs w:val="24"/>
    </w:rPr>
  </w:style>
  <w:style w:type="character" w:styleId="MenoPendente">
    <w:name w:val="Unresolved Mention"/>
    <w:basedOn w:val="Fontepargpadro"/>
    <w:uiPriority w:val="99"/>
    <w:semiHidden/>
    <w:unhideWhenUsed/>
    <w:rsid w:val="00850C1C"/>
    <w:rPr>
      <w:color w:val="605E5C"/>
      <w:shd w:val="clear" w:color="auto" w:fill="E1DFDD"/>
    </w:rPr>
  </w:style>
  <w:style w:type="paragraph" w:styleId="Textodenotaderodap">
    <w:name w:val="footnote text"/>
    <w:basedOn w:val="Normal"/>
    <w:link w:val="TextodenotaderodapChar"/>
    <w:uiPriority w:val="99"/>
    <w:semiHidden/>
    <w:unhideWhenUsed/>
    <w:rsid w:val="00907963"/>
    <w:pPr>
      <w:spacing w:after="0" w:line="240" w:lineRule="auto"/>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semiHidden/>
    <w:rsid w:val="00907963"/>
    <w:rPr>
      <w:rFonts w:asciiTheme="minorHAnsi" w:eastAsiaTheme="minorEastAsia" w:hAnsiTheme="minorHAnsi"/>
    </w:rPr>
  </w:style>
  <w:style w:type="character" w:styleId="nfaseSutil">
    <w:name w:val="Subtle Emphasis"/>
    <w:basedOn w:val="Fontepargpadro"/>
    <w:uiPriority w:val="19"/>
    <w:qFormat/>
    <w:rsid w:val="00907963"/>
    <w:rPr>
      <w:i/>
      <w:iCs/>
    </w:rPr>
  </w:style>
  <w:style w:type="character" w:customStyle="1" w:styleId="Ttulo3Char">
    <w:name w:val="Título 3 Char"/>
    <w:basedOn w:val="Fontepargpadro"/>
    <w:link w:val="Ttulo3"/>
    <w:uiPriority w:val="9"/>
    <w:semiHidden/>
    <w:rsid w:val="00913748"/>
    <w:rPr>
      <w:rFonts w:asciiTheme="majorHAnsi" w:eastAsiaTheme="majorEastAsia" w:hAnsiTheme="majorHAnsi" w:cstheme="majorBidi"/>
      <w:color w:val="1F4D78" w:themeColor="accent1" w:themeShade="7F"/>
      <w:sz w:val="24"/>
      <w:szCs w:val="24"/>
      <w:lang w:eastAsia="en-US"/>
    </w:rPr>
  </w:style>
  <w:style w:type="paragraph" w:customStyle="1" w:styleId="Referencia">
    <w:name w:val="Referencia"/>
    <w:basedOn w:val="Normal"/>
    <w:rsid w:val="00DC349D"/>
    <w:pPr>
      <w:overflowPunct w:val="0"/>
      <w:autoSpaceDE w:val="0"/>
      <w:autoSpaceDN w:val="0"/>
      <w:adjustRightInd w:val="0"/>
      <w:spacing w:before="60" w:after="60" w:line="240" w:lineRule="auto"/>
      <w:ind w:left="567"/>
    </w:pPr>
    <w:rPr>
      <w:rFonts w:ascii="Book Antiqua" w:eastAsia="Times New Roman" w:hAnsi="Book Antiqua"/>
      <w:noProof/>
      <w:sz w:val="20"/>
      <w:szCs w:val="20"/>
      <w:lang w:eastAsia="pt-BR"/>
    </w:rPr>
  </w:style>
  <w:style w:type="character" w:customStyle="1" w:styleId="method-name">
    <w:name w:val="method-name"/>
    <w:basedOn w:val="Fontepargpadro"/>
    <w:rsid w:val="00106D5C"/>
  </w:style>
  <w:style w:type="character" w:customStyle="1" w:styleId="method-descriptive-name">
    <w:name w:val="method-descriptive-name"/>
    <w:basedOn w:val="Fontepargpadro"/>
    <w:rsid w:val="00106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30035">
      <w:bodyDiv w:val="1"/>
      <w:marLeft w:val="0"/>
      <w:marRight w:val="0"/>
      <w:marTop w:val="0"/>
      <w:marBottom w:val="0"/>
      <w:divBdr>
        <w:top w:val="none" w:sz="0" w:space="0" w:color="auto"/>
        <w:left w:val="none" w:sz="0" w:space="0" w:color="auto"/>
        <w:bottom w:val="none" w:sz="0" w:space="0" w:color="auto"/>
        <w:right w:val="none" w:sz="0" w:space="0" w:color="auto"/>
      </w:divBdr>
    </w:div>
    <w:div w:id="389226972">
      <w:bodyDiv w:val="1"/>
      <w:marLeft w:val="0"/>
      <w:marRight w:val="0"/>
      <w:marTop w:val="0"/>
      <w:marBottom w:val="0"/>
      <w:divBdr>
        <w:top w:val="none" w:sz="0" w:space="0" w:color="auto"/>
        <w:left w:val="none" w:sz="0" w:space="0" w:color="auto"/>
        <w:bottom w:val="none" w:sz="0" w:space="0" w:color="auto"/>
        <w:right w:val="none" w:sz="0" w:space="0" w:color="auto"/>
      </w:divBdr>
    </w:div>
    <w:div w:id="392313734">
      <w:bodyDiv w:val="1"/>
      <w:marLeft w:val="0"/>
      <w:marRight w:val="0"/>
      <w:marTop w:val="0"/>
      <w:marBottom w:val="0"/>
      <w:divBdr>
        <w:top w:val="none" w:sz="0" w:space="0" w:color="auto"/>
        <w:left w:val="none" w:sz="0" w:space="0" w:color="auto"/>
        <w:bottom w:val="none" w:sz="0" w:space="0" w:color="auto"/>
        <w:right w:val="none" w:sz="0" w:space="0" w:color="auto"/>
      </w:divBdr>
    </w:div>
    <w:div w:id="479612755">
      <w:bodyDiv w:val="1"/>
      <w:marLeft w:val="0"/>
      <w:marRight w:val="0"/>
      <w:marTop w:val="0"/>
      <w:marBottom w:val="0"/>
      <w:divBdr>
        <w:top w:val="none" w:sz="0" w:space="0" w:color="auto"/>
        <w:left w:val="none" w:sz="0" w:space="0" w:color="auto"/>
        <w:bottom w:val="none" w:sz="0" w:space="0" w:color="auto"/>
        <w:right w:val="none" w:sz="0" w:space="0" w:color="auto"/>
      </w:divBdr>
    </w:div>
    <w:div w:id="643658190">
      <w:bodyDiv w:val="1"/>
      <w:marLeft w:val="0"/>
      <w:marRight w:val="0"/>
      <w:marTop w:val="0"/>
      <w:marBottom w:val="0"/>
      <w:divBdr>
        <w:top w:val="none" w:sz="0" w:space="0" w:color="auto"/>
        <w:left w:val="none" w:sz="0" w:space="0" w:color="auto"/>
        <w:bottom w:val="none" w:sz="0" w:space="0" w:color="auto"/>
        <w:right w:val="none" w:sz="0" w:space="0" w:color="auto"/>
      </w:divBdr>
    </w:div>
    <w:div w:id="759255500">
      <w:bodyDiv w:val="1"/>
      <w:marLeft w:val="0"/>
      <w:marRight w:val="0"/>
      <w:marTop w:val="0"/>
      <w:marBottom w:val="0"/>
      <w:divBdr>
        <w:top w:val="none" w:sz="0" w:space="0" w:color="auto"/>
        <w:left w:val="none" w:sz="0" w:space="0" w:color="auto"/>
        <w:bottom w:val="none" w:sz="0" w:space="0" w:color="auto"/>
        <w:right w:val="none" w:sz="0" w:space="0" w:color="auto"/>
      </w:divBdr>
    </w:div>
    <w:div w:id="797260715">
      <w:bodyDiv w:val="1"/>
      <w:marLeft w:val="0"/>
      <w:marRight w:val="0"/>
      <w:marTop w:val="0"/>
      <w:marBottom w:val="0"/>
      <w:divBdr>
        <w:top w:val="none" w:sz="0" w:space="0" w:color="auto"/>
        <w:left w:val="none" w:sz="0" w:space="0" w:color="auto"/>
        <w:bottom w:val="none" w:sz="0" w:space="0" w:color="auto"/>
        <w:right w:val="none" w:sz="0" w:space="0" w:color="auto"/>
      </w:divBdr>
    </w:div>
    <w:div w:id="862597852">
      <w:bodyDiv w:val="1"/>
      <w:marLeft w:val="0"/>
      <w:marRight w:val="0"/>
      <w:marTop w:val="0"/>
      <w:marBottom w:val="0"/>
      <w:divBdr>
        <w:top w:val="none" w:sz="0" w:space="0" w:color="auto"/>
        <w:left w:val="none" w:sz="0" w:space="0" w:color="auto"/>
        <w:bottom w:val="none" w:sz="0" w:space="0" w:color="auto"/>
        <w:right w:val="none" w:sz="0" w:space="0" w:color="auto"/>
      </w:divBdr>
    </w:div>
    <w:div w:id="948043851">
      <w:bodyDiv w:val="1"/>
      <w:marLeft w:val="0"/>
      <w:marRight w:val="0"/>
      <w:marTop w:val="0"/>
      <w:marBottom w:val="0"/>
      <w:divBdr>
        <w:top w:val="none" w:sz="0" w:space="0" w:color="auto"/>
        <w:left w:val="none" w:sz="0" w:space="0" w:color="auto"/>
        <w:bottom w:val="none" w:sz="0" w:space="0" w:color="auto"/>
        <w:right w:val="none" w:sz="0" w:space="0" w:color="auto"/>
      </w:divBdr>
    </w:div>
    <w:div w:id="990476044">
      <w:bodyDiv w:val="1"/>
      <w:marLeft w:val="0"/>
      <w:marRight w:val="0"/>
      <w:marTop w:val="0"/>
      <w:marBottom w:val="0"/>
      <w:divBdr>
        <w:top w:val="none" w:sz="0" w:space="0" w:color="auto"/>
        <w:left w:val="none" w:sz="0" w:space="0" w:color="auto"/>
        <w:bottom w:val="none" w:sz="0" w:space="0" w:color="auto"/>
        <w:right w:val="none" w:sz="0" w:space="0" w:color="auto"/>
      </w:divBdr>
    </w:div>
    <w:div w:id="1289897831">
      <w:bodyDiv w:val="1"/>
      <w:marLeft w:val="0"/>
      <w:marRight w:val="0"/>
      <w:marTop w:val="0"/>
      <w:marBottom w:val="0"/>
      <w:divBdr>
        <w:top w:val="none" w:sz="0" w:space="0" w:color="auto"/>
        <w:left w:val="none" w:sz="0" w:space="0" w:color="auto"/>
        <w:bottom w:val="none" w:sz="0" w:space="0" w:color="auto"/>
        <w:right w:val="none" w:sz="0" w:space="0" w:color="auto"/>
      </w:divBdr>
    </w:div>
    <w:div w:id="1294216304">
      <w:bodyDiv w:val="1"/>
      <w:marLeft w:val="0"/>
      <w:marRight w:val="0"/>
      <w:marTop w:val="0"/>
      <w:marBottom w:val="0"/>
      <w:divBdr>
        <w:top w:val="none" w:sz="0" w:space="0" w:color="auto"/>
        <w:left w:val="none" w:sz="0" w:space="0" w:color="auto"/>
        <w:bottom w:val="none" w:sz="0" w:space="0" w:color="auto"/>
        <w:right w:val="none" w:sz="0" w:space="0" w:color="auto"/>
      </w:divBdr>
    </w:div>
    <w:div w:id="1458521462">
      <w:bodyDiv w:val="1"/>
      <w:marLeft w:val="0"/>
      <w:marRight w:val="0"/>
      <w:marTop w:val="0"/>
      <w:marBottom w:val="0"/>
      <w:divBdr>
        <w:top w:val="none" w:sz="0" w:space="0" w:color="auto"/>
        <w:left w:val="none" w:sz="0" w:space="0" w:color="auto"/>
        <w:bottom w:val="none" w:sz="0" w:space="0" w:color="auto"/>
        <w:right w:val="none" w:sz="0" w:space="0" w:color="auto"/>
      </w:divBdr>
    </w:div>
    <w:div w:id="1461917944">
      <w:bodyDiv w:val="1"/>
      <w:marLeft w:val="0"/>
      <w:marRight w:val="0"/>
      <w:marTop w:val="0"/>
      <w:marBottom w:val="0"/>
      <w:divBdr>
        <w:top w:val="none" w:sz="0" w:space="0" w:color="auto"/>
        <w:left w:val="none" w:sz="0" w:space="0" w:color="auto"/>
        <w:bottom w:val="none" w:sz="0" w:space="0" w:color="auto"/>
        <w:right w:val="none" w:sz="0" w:space="0" w:color="auto"/>
      </w:divBdr>
    </w:div>
    <w:div w:id="1729264180">
      <w:bodyDiv w:val="1"/>
      <w:marLeft w:val="0"/>
      <w:marRight w:val="0"/>
      <w:marTop w:val="0"/>
      <w:marBottom w:val="0"/>
      <w:divBdr>
        <w:top w:val="none" w:sz="0" w:space="0" w:color="auto"/>
        <w:left w:val="none" w:sz="0" w:space="0" w:color="auto"/>
        <w:bottom w:val="none" w:sz="0" w:space="0" w:color="auto"/>
        <w:right w:val="none" w:sz="0" w:space="0" w:color="auto"/>
      </w:divBdr>
    </w:div>
    <w:div w:id="1792940273">
      <w:bodyDiv w:val="1"/>
      <w:marLeft w:val="0"/>
      <w:marRight w:val="0"/>
      <w:marTop w:val="0"/>
      <w:marBottom w:val="0"/>
      <w:divBdr>
        <w:top w:val="none" w:sz="0" w:space="0" w:color="auto"/>
        <w:left w:val="none" w:sz="0" w:space="0" w:color="auto"/>
        <w:bottom w:val="none" w:sz="0" w:space="0" w:color="auto"/>
        <w:right w:val="none" w:sz="0" w:space="0" w:color="auto"/>
      </w:divBdr>
    </w:div>
    <w:div w:id="1946572102">
      <w:bodyDiv w:val="1"/>
      <w:marLeft w:val="0"/>
      <w:marRight w:val="0"/>
      <w:marTop w:val="0"/>
      <w:marBottom w:val="0"/>
      <w:divBdr>
        <w:top w:val="none" w:sz="0" w:space="0" w:color="auto"/>
        <w:left w:val="none" w:sz="0" w:space="0" w:color="auto"/>
        <w:bottom w:val="none" w:sz="0" w:space="0" w:color="auto"/>
        <w:right w:val="none" w:sz="0" w:space="0" w:color="auto"/>
      </w:divBdr>
    </w:div>
    <w:div w:id="1956211049">
      <w:bodyDiv w:val="1"/>
      <w:marLeft w:val="0"/>
      <w:marRight w:val="0"/>
      <w:marTop w:val="0"/>
      <w:marBottom w:val="0"/>
      <w:divBdr>
        <w:top w:val="none" w:sz="0" w:space="0" w:color="auto"/>
        <w:left w:val="none" w:sz="0" w:space="0" w:color="auto"/>
        <w:bottom w:val="none" w:sz="0" w:space="0" w:color="auto"/>
        <w:right w:val="none" w:sz="0" w:space="0" w:color="auto"/>
      </w:divBdr>
    </w:div>
    <w:div w:id="205619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andardmetho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ndardmethod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tandardmethods.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andardmethods.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Tha&#237;sa\Univap%20FEAU\TCC\DQ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[DQO.xlsx]Planilha1!$A$2:$A$9</c:f>
              <c:numCache>
                <c:formatCode>General</c:formatCode>
                <c:ptCount val="8"/>
                <c:pt idx="0">
                  <c:v>100</c:v>
                </c:pt>
                <c:pt idx="1">
                  <c:v>300</c:v>
                </c:pt>
                <c:pt idx="2">
                  <c:v>500</c:v>
                </c:pt>
                <c:pt idx="3">
                  <c:v>1000</c:v>
                </c:pt>
                <c:pt idx="4">
                  <c:v>1200</c:v>
                </c:pt>
                <c:pt idx="5">
                  <c:v>1800</c:v>
                </c:pt>
                <c:pt idx="6">
                  <c:v>2400</c:v>
                </c:pt>
                <c:pt idx="7">
                  <c:v>3000</c:v>
                </c:pt>
              </c:numCache>
            </c:numRef>
          </c:xVal>
          <c:yVal>
            <c:numRef>
              <c:f>[DQO.xlsx]Planilha1!$B$2:$B$9</c:f>
              <c:numCache>
                <c:formatCode>General</c:formatCode>
                <c:ptCount val="8"/>
                <c:pt idx="0">
                  <c:v>5.33E-2</c:v>
                </c:pt>
                <c:pt idx="1">
                  <c:v>0.1</c:v>
                </c:pt>
                <c:pt idx="2">
                  <c:v>0.15</c:v>
                </c:pt>
                <c:pt idx="3">
                  <c:v>0.26329999999999998</c:v>
                </c:pt>
                <c:pt idx="4">
                  <c:v>0.31</c:v>
                </c:pt>
                <c:pt idx="5">
                  <c:v>0.45</c:v>
                </c:pt>
                <c:pt idx="6">
                  <c:v>0.59</c:v>
                </c:pt>
                <c:pt idx="7">
                  <c:v>0.73</c:v>
                </c:pt>
              </c:numCache>
            </c:numRef>
          </c:yVal>
          <c:smooth val="0"/>
          <c:extLst>
            <c:ext xmlns:c16="http://schemas.microsoft.com/office/drawing/2014/chart" uri="{C3380CC4-5D6E-409C-BE32-E72D297353CC}">
              <c16:uniqueId val="{00000000-014D-4F55-B0E7-FE1499BF97E6}"/>
            </c:ext>
          </c:extLst>
        </c:ser>
        <c:dLbls>
          <c:showLegendKey val="0"/>
          <c:showVal val="0"/>
          <c:showCatName val="0"/>
          <c:showSerName val="0"/>
          <c:showPercent val="0"/>
          <c:showBubbleSize val="0"/>
        </c:dLbls>
        <c:axId val="1427481559"/>
        <c:axId val="1427480727"/>
      </c:scatterChart>
      <c:valAx>
        <c:axId val="14274815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solidFill>
                      <a:sysClr val="windowText" lastClr="000000"/>
                    </a:solidFill>
                    <a:latin typeface="Times New Roman" panose="02020603050405020304" pitchFamily="18" charset="0"/>
                    <a:cs typeface="Times New Roman" panose="02020603050405020304" pitchFamily="18" charset="0"/>
                  </a:rPr>
                  <a:t>Concentração</a:t>
                </a:r>
                <a:r>
                  <a:rPr lang="pt-BR" baseline="0">
                    <a:solidFill>
                      <a:sysClr val="windowText" lastClr="000000"/>
                    </a:solidFill>
                    <a:latin typeface="Times New Roman" panose="02020603050405020304" pitchFamily="18" charset="0"/>
                    <a:cs typeface="Times New Roman" panose="02020603050405020304" pitchFamily="18" charset="0"/>
                  </a:rPr>
                  <a:t> de DQO (</a:t>
                </a:r>
                <a:r>
                  <a:rPr lang="pt-BR" sz="1000" b="0" i="0" u="none" strike="noStrike" baseline="0">
                    <a:effectLst/>
                    <a:latin typeface="Times New Roman" panose="02020603050405020304" pitchFamily="18" charset="0"/>
                    <a:cs typeface="Times New Roman" panose="02020603050405020304" pitchFamily="18" charset="0"/>
                  </a:rPr>
                  <a:t>mg x L</a:t>
                </a:r>
                <a:r>
                  <a:rPr lang="pt-BR" sz="1000" b="0" i="0" u="none" strike="noStrike" baseline="30000">
                    <a:effectLst/>
                    <a:latin typeface="Times New Roman" panose="02020603050405020304" pitchFamily="18" charset="0"/>
                    <a:cs typeface="Times New Roman" panose="02020603050405020304" pitchFamily="18" charset="0"/>
                  </a:rPr>
                  <a:t>-1</a:t>
                </a:r>
                <a:r>
                  <a:rPr lang="pt-BR" sz="1000" b="0" i="0" u="none" strike="noStrike" baseline="0">
                    <a:effectLst/>
                    <a:latin typeface="Times New Roman" panose="02020603050405020304" pitchFamily="18" charset="0"/>
                    <a:cs typeface="Times New Roman" panose="02020603050405020304" pitchFamily="18" charset="0"/>
                  </a:rPr>
                  <a:t> </a:t>
                </a:r>
                <a:r>
                  <a:rPr lang="pt-BR" baseline="0">
                    <a:solidFill>
                      <a:sysClr val="windowText" lastClr="000000"/>
                    </a:solidFill>
                    <a:latin typeface="Times New Roman" panose="02020603050405020304" pitchFamily="18" charset="0"/>
                    <a:cs typeface="Times New Roman" panose="02020603050405020304" pitchFamily="18" charset="0"/>
                  </a:rPr>
                  <a:t>)</a:t>
                </a:r>
                <a:endParaRPr lang="pt-BR">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427480727"/>
        <c:crosses val="autoZero"/>
        <c:crossBetween val="midCat"/>
      </c:valAx>
      <c:valAx>
        <c:axId val="14274807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solidFill>
                      <a:sysClr val="windowText" lastClr="000000"/>
                    </a:solidFill>
                    <a:latin typeface="Times New Roman" panose="02020603050405020304" pitchFamily="18" charset="0"/>
                    <a:cs typeface="Times New Roman" panose="02020603050405020304" pitchFamily="18" charset="0"/>
                  </a:rPr>
                  <a:t>Absorbância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427481559"/>
        <c:crosses val="autoZero"/>
        <c:crossBetween val="midCat"/>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8741-4451-4DED-B078-853687F9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2664</Words>
  <Characters>14387</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17017</CharactersWithSpaces>
  <SharedDoc>false</SharedDoc>
  <HLinks>
    <vt:vector size="24" baseType="variant">
      <vt:variant>
        <vt:i4>5046342</vt:i4>
      </vt:variant>
      <vt:variant>
        <vt:i4>22</vt:i4>
      </vt:variant>
      <vt:variant>
        <vt:i4>0</vt:i4>
      </vt:variant>
      <vt:variant>
        <vt:i4>5</vt:i4>
      </vt:variant>
      <vt:variant>
        <vt:lpwstr>http://www.astm.org/</vt:lpwstr>
      </vt:variant>
      <vt:variant>
        <vt:lpwstr/>
      </vt:variant>
      <vt:variant>
        <vt:i4>6881283</vt:i4>
      </vt:variant>
      <vt:variant>
        <vt:i4>6</vt:i4>
      </vt:variant>
      <vt:variant>
        <vt:i4>0</vt:i4>
      </vt:variant>
      <vt:variant>
        <vt:i4>5</vt:i4>
      </vt:variant>
      <vt:variant>
        <vt:lpwstr>mailto:jose.granato@eleb.net</vt:lpwstr>
      </vt:variant>
      <vt:variant>
        <vt:lpwstr/>
      </vt:variant>
      <vt:variant>
        <vt:i4>3014681</vt:i4>
      </vt:variant>
      <vt:variant>
        <vt:i4>3</vt:i4>
      </vt:variant>
      <vt:variant>
        <vt:i4>0</vt:i4>
      </vt:variant>
      <vt:variant>
        <vt:i4>5</vt:i4>
      </vt:variant>
      <vt:variant>
        <vt:lpwstr>mailto:erika@univap.br</vt:lpwstr>
      </vt:variant>
      <vt:variant>
        <vt:lpwstr/>
      </vt:variant>
      <vt:variant>
        <vt:i4>4128770</vt:i4>
      </vt:variant>
      <vt:variant>
        <vt:i4>0</vt:i4>
      </vt:variant>
      <vt:variant>
        <vt:i4>0</vt:i4>
      </vt:variant>
      <vt:variant>
        <vt:i4>5</vt:i4>
      </vt:variant>
      <vt:variant>
        <vt:lpwstr>mailto:sinka@univap.br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 Peterson Goncalves</cp:lastModifiedBy>
  <cp:revision>18</cp:revision>
  <cp:lastPrinted>2019-06-14T22:48:00Z</cp:lastPrinted>
  <dcterms:created xsi:type="dcterms:W3CDTF">2019-06-14T13:10:00Z</dcterms:created>
  <dcterms:modified xsi:type="dcterms:W3CDTF">2019-06-14T23:13:00Z</dcterms:modified>
</cp:coreProperties>
</file>